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E6D9E" w14:textId="77777777" w:rsidR="00753949" w:rsidRDefault="00753949" w:rsidP="00753949"/>
    <w:p w14:paraId="0F7F2E18" w14:textId="6F03F875" w:rsidR="00753949" w:rsidRPr="00753949" w:rsidRDefault="00753949">
      <w:pPr>
        <w:rPr>
          <w:rFonts w:ascii="Century Gothic" w:hAnsi="Century Gothic"/>
          <w:b/>
          <w:bCs/>
          <w:color w:val="009B91"/>
          <w:sz w:val="32"/>
          <w:szCs w:val="32"/>
        </w:rPr>
      </w:pPr>
      <w:r>
        <w:rPr>
          <w:rFonts w:ascii="Century Gothic" w:hAnsi="Century Gothic"/>
          <w:b/>
          <w:bCs/>
          <w:color w:val="009B91"/>
          <w:sz w:val="32"/>
          <w:szCs w:val="32"/>
        </w:rPr>
        <w:t>Your emotional tolerance to investment risk (ATR)</w:t>
      </w:r>
    </w:p>
    <w:p w14:paraId="751407CA" w14:textId="77777777" w:rsidR="00895EFC" w:rsidRDefault="00895EFC" w:rsidP="00895EFC">
      <w:pPr>
        <w:spacing w:after="0" w:line="240" w:lineRule="auto"/>
      </w:pPr>
    </w:p>
    <w:tbl>
      <w:tblPr>
        <w:tblW w:w="9781" w:type="dxa"/>
        <w:tblLook w:val="04A0" w:firstRow="1" w:lastRow="0" w:firstColumn="1" w:lastColumn="0" w:noHBand="0" w:noVBand="1"/>
      </w:tblPr>
      <w:tblGrid>
        <w:gridCol w:w="1276"/>
        <w:gridCol w:w="1985"/>
        <w:gridCol w:w="2890"/>
        <w:gridCol w:w="2472"/>
        <w:gridCol w:w="1158"/>
      </w:tblGrid>
      <w:tr w:rsidR="00895EFC" w:rsidRPr="00753949" w14:paraId="13C760DB" w14:textId="77777777" w:rsidTr="00895EFC">
        <w:trPr>
          <w:trHeight w:val="520"/>
        </w:trPr>
        <w:tc>
          <w:tcPr>
            <w:tcW w:w="1276" w:type="dxa"/>
            <w:tcBorders>
              <w:top w:val="nil"/>
              <w:left w:val="nil"/>
              <w:bottom w:val="nil"/>
              <w:right w:val="nil"/>
            </w:tcBorders>
            <w:shd w:val="clear" w:color="auto" w:fill="auto"/>
            <w:vAlign w:val="center"/>
            <w:hideMark/>
          </w:tcPr>
          <w:p w14:paraId="1C7BCC18" w14:textId="77777777" w:rsidR="00895EFC" w:rsidRPr="00753949" w:rsidRDefault="00895EFC" w:rsidP="00054166">
            <w:pPr>
              <w:spacing w:after="0" w:line="240" w:lineRule="auto"/>
              <w:jc w:val="center"/>
              <w:rPr>
                <w:rFonts w:ascii="Century Gothic" w:eastAsia="Times New Roman" w:hAnsi="Century Gothic" w:cs="Times New Roman"/>
                <w:sz w:val="19"/>
                <w:szCs w:val="19"/>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163FF" w14:textId="77777777" w:rsidR="00895EFC" w:rsidRPr="00753949" w:rsidRDefault="00895EFC" w:rsidP="00054166">
            <w:pPr>
              <w:spacing w:after="0" w:line="240" w:lineRule="auto"/>
              <w:jc w:val="center"/>
              <w:rPr>
                <w:rFonts w:ascii="Century Gothic" w:eastAsia="Times New Roman" w:hAnsi="Century Gothic" w:cs="Times New Roman"/>
                <w:b/>
                <w:bCs/>
                <w:sz w:val="19"/>
                <w:szCs w:val="19"/>
                <w:lang w:eastAsia="en-US"/>
              </w:rPr>
            </w:pPr>
            <w:r w:rsidRPr="00753949">
              <w:rPr>
                <w:rFonts w:ascii="Century Gothic" w:eastAsia="Times New Roman" w:hAnsi="Century Gothic" w:cs="Times New Roman"/>
                <w:b/>
                <w:bCs/>
                <w:sz w:val="19"/>
                <w:szCs w:val="19"/>
                <w:lang w:eastAsia="en-US"/>
              </w:rPr>
              <w:t>Risk descriptions</w:t>
            </w:r>
          </w:p>
        </w:tc>
        <w:tc>
          <w:tcPr>
            <w:tcW w:w="2890" w:type="dxa"/>
            <w:tcBorders>
              <w:top w:val="single" w:sz="4" w:space="0" w:color="auto"/>
              <w:left w:val="nil"/>
              <w:bottom w:val="single" w:sz="4" w:space="0" w:color="auto"/>
              <w:right w:val="single" w:sz="4" w:space="0" w:color="auto"/>
            </w:tcBorders>
            <w:shd w:val="clear" w:color="auto" w:fill="auto"/>
            <w:vAlign w:val="center"/>
            <w:hideMark/>
          </w:tcPr>
          <w:p w14:paraId="51761F14" w14:textId="77777777" w:rsidR="00895EFC" w:rsidRPr="00753949" w:rsidRDefault="00895EFC" w:rsidP="00054166">
            <w:pPr>
              <w:spacing w:after="0" w:line="240" w:lineRule="auto"/>
              <w:jc w:val="center"/>
              <w:rPr>
                <w:rFonts w:ascii="Century Gothic" w:eastAsia="Times New Roman" w:hAnsi="Century Gothic" w:cs="Times New Roman"/>
                <w:b/>
                <w:bCs/>
                <w:sz w:val="19"/>
                <w:szCs w:val="19"/>
                <w:lang w:eastAsia="en-US"/>
              </w:rPr>
            </w:pPr>
            <w:r w:rsidRPr="00753949">
              <w:rPr>
                <w:rFonts w:ascii="Century Gothic" w:eastAsia="Times New Roman" w:hAnsi="Century Gothic" w:cs="Times New Roman"/>
                <w:b/>
                <w:bCs/>
                <w:sz w:val="19"/>
                <w:szCs w:val="19"/>
                <w:lang w:eastAsia="en-US"/>
              </w:rPr>
              <w:t>Risk consequences</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14:paraId="3B931C41" w14:textId="77777777" w:rsidR="00895EFC" w:rsidRPr="00753949" w:rsidRDefault="00EE5396" w:rsidP="00054166">
            <w:pPr>
              <w:spacing w:after="0" w:line="240" w:lineRule="auto"/>
              <w:jc w:val="center"/>
              <w:rPr>
                <w:rFonts w:ascii="Century Gothic" w:eastAsia="Times New Roman" w:hAnsi="Century Gothic" w:cs="Times New Roman"/>
                <w:b/>
                <w:bCs/>
                <w:sz w:val="19"/>
                <w:szCs w:val="19"/>
                <w:lang w:eastAsia="en-US"/>
              </w:rPr>
            </w:pPr>
            <w:r w:rsidRPr="00753949">
              <w:rPr>
                <w:rFonts w:ascii="Century Gothic" w:eastAsia="Times New Roman" w:hAnsi="Century Gothic" w:cs="Times New Roman"/>
                <w:b/>
                <w:bCs/>
                <w:sz w:val="19"/>
                <w:szCs w:val="19"/>
                <w:lang w:eastAsia="en-US"/>
              </w:rPr>
              <w:t>Usually i</w:t>
            </w:r>
            <w:r w:rsidR="00895EFC" w:rsidRPr="00753949">
              <w:rPr>
                <w:rFonts w:ascii="Century Gothic" w:eastAsia="Times New Roman" w:hAnsi="Century Gothic" w:cs="Times New Roman"/>
                <w:b/>
                <w:bCs/>
                <w:sz w:val="19"/>
                <w:szCs w:val="19"/>
                <w:lang w:eastAsia="en-US"/>
              </w:rPr>
              <w:t>deal for</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15AFC93A" w14:textId="77777777" w:rsidR="00895EFC" w:rsidRPr="00753949" w:rsidRDefault="00895EFC" w:rsidP="00054166">
            <w:pPr>
              <w:spacing w:after="0" w:line="240" w:lineRule="auto"/>
              <w:jc w:val="center"/>
              <w:rPr>
                <w:rFonts w:ascii="Century Gothic" w:eastAsia="Times New Roman" w:hAnsi="Century Gothic" w:cs="Times New Roman"/>
                <w:b/>
                <w:bCs/>
                <w:color w:val="DD0806"/>
                <w:sz w:val="19"/>
                <w:szCs w:val="19"/>
                <w:lang w:eastAsia="en-US"/>
              </w:rPr>
            </w:pPr>
            <w:r w:rsidRPr="00753949">
              <w:rPr>
                <w:rFonts w:ascii="Century Gothic" w:eastAsia="Times New Roman" w:hAnsi="Century Gothic" w:cs="Times New Roman"/>
                <w:b/>
                <w:bCs/>
                <w:color w:val="DD0806"/>
                <w:sz w:val="19"/>
                <w:szCs w:val="19"/>
                <w:lang w:eastAsia="en-US"/>
              </w:rPr>
              <w:t>Risk you choose</w:t>
            </w:r>
          </w:p>
        </w:tc>
      </w:tr>
      <w:tr w:rsidR="00895EFC" w:rsidRPr="00753949" w14:paraId="40630500" w14:textId="77777777" w:rsidTr="00895EFC">
        <w:trPr>
          <w:trHeight w:val="451"/>
        </w:trPr>
        <w:tc>
          <w:tcPr>
            <w:tcW w:w="1276"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2DB8088" w14:textId="77777777" w:rsidR="00895EFC" w:rsidRPr="00753949" w:rsidRDefault="00895EFC" w:rsidP="00054166">
            <w:pPr>
              <w:spacing w:after="0" w:line="240" w:lineRule="auto"/>
              <w:jc w:val="center"/>
              <w:rPr>
                <w:rFonts w:ascii="Century Gothic" w:eastAsia="Times New Roman" w:hAnsi="Century Gothic" w:cs="Times New Roman"/>
                <w:b/>
                <w:sz w:val="18"/>
                <w:szCs w:val="18"/>
                <w:lang w:eastAsia="en-US"/>
              </w:rPr>
            </w:pPr>
            <w:r w:rsidRPr="00753949">
              <w:rPr>
                <w:rFonts w:ascii="Century Gothic" w:eastAsia="Times New Roman" w:hAnsi="Century Gothic" w:cs="Times New Roman"/>
                <w:b/>
                <w:sz w:val="18"/>
                <w:szCs w:val="18"/>
                <w:lang w:eastAsia="en-US"/>
              </w:rPr>
              <w:t>No Risk</w:t>
            </w:r>
          </w:p>
        </w:tc>
        <w:tc>
          <w:tcPr>
            <w:tcW w:w="1985" w:type="dxa"/>
            <w:vMerge w:val="restart"/>
            <w:tcBorders>
              <w:top w:val="single" w:sz="4" w:space="0" w:color="auto"/>
              <w:left w:val="single" w:sz="4" w:space="0" w:color="auto"/>
              <w:bottom w:val="single" w:sz="4" w:space="0" w:color="000000"/>
              <w:right w:val="single" w:sz="4" w:space="0" w:color="000000"/>
            </w:tcBorders>
            <w:shd w:val="clear" w:color="auto" w:fill="A8D08D" w:themeFill="accent6" w:themeFillTint="99"/>
            <w:vAlign w:val="center"/>
            <w:hideMark/>
          </w:tcPr>
          <w:p w14:paraId="19DECC7B"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r w:rsidRPr="00753949">
              <w:rPr>
                <w:rFonts w:ascii="Century Gothic" w:eastAsia="Times New Roman" w:hAnsi="Century Gothic" w:cs="Times New Roman"/>
                <w:sz w:val="18"/>
                <w:szCs w:val="18"/>
                <w:lang w:eastAsia="en-US"/>
              </w:rPr>
              <w:t>There is no risk to capital. Typically, investments will be savings and deposits.</w:t>
            </w:r>
          </w:p>
        </w:tc>
        <w:tc>
          <w:tcPr>
            <w:tcW w:w="2890"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135753D1" w14:textId="5674A78C" w:rsidR="00895EFC" w:rsidRPr="00753949" w:rsidRDefault="00895EFC" w:rsidP="00054166">
            <w:pPr>
              <w:spacing w:after="0" w:line="240" w:lineRule="auto"/>
              <w:rPr>
                <w:rFonts w:ascii="Century Gothic" w:eastAsia="Times New Roman" w:hAnsi="Century Gothic" w:cs="Times New Roman"/>
                <w:sz w:val="18"/>
                <w:szCs w:val="18"/>
                <w:lang w:eastAsia="en-US"/>
              </w:rPr>
            </w:pPr>
            <w:r w:rsidRPr="00753949">
              <w:rPr>
                <w:rFonts w:ascii="Century Gothic" w:eastAsia="Times New Roman" w:hAnsi="Century Gothic" w:cs="Times New Roman"/>
                <w:sz w:val="18"/>
                <w:szCs w:val="18"/>
                <w:lang w:eastAsia="en-US"/>
              </w:rPr>
              <w:t>Capital is secure and accessible (not always immediately) but there is an inevitable loss in value after the effects of inflation.</w:t>
            </w:r>
          </w:p>
        </w:tc>
        <w:tc>
          <w:tcPr>
            <w:tcW w:w="2472" w:type="dxa"/>
            <w:vMerge w:val="restart"/>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14:paraId="18373732"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r w:rsidRPr="00753949">
              <w:rPr>
                <w:rFonts w:ascii="Century Gothic" w:eastAsia="Times New Roman" w:hAnsi="Century Gothic" w:cs="Times New Roman"/>
                <w:sz w:val="18"/>
                <w:szCs w:val="18"/>
                <w:lang w:eastAsia="en-US"/>
              </w:rPr>
              <w:t xml:space="preserve">People who are not </w:t>
            </w:r>
            <w:proofErr w:type="gramStart"/>
            <w:r w:rsidRPr="00753949">
              <w:rPr>
                <w:rFonts w:ascii="Century Gothic" w:eastAsia="Times New Roman" w:hAnsi="Century Gothic" w:cs="Times New Roman"/>
                <w:sz w:val="18"/>
                <w:szCs w:val="18"/>
                <w:lang w:eastAsia="en-US"/>
              </w:rPr>
              <w:t>investors, but</w:t>
            </w:r>
            <w:proofErr w:type="gramEnd"/>
            <w:r w:rsidRPr="00753949">
              <w:rPr>
                <w:rFonts w:ascii="Century Gothic" w:eastAsia="Times New Roman" w:hAnsi="Century Gothic" w:cs="Times New Roman"/>
                <w:sz w:val="18"/>
                <w:szCs w:val="18"/>
                <w:lang w:eastAsia="en-US"/>
              </w:rPr>
              <w:t xml:space="preserve"> are just looking to protect their capital.</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hideMark/>
          </w:tcPr>
          <w:p w14:paraId="194D2A78" w14:textId="77777777" w:rsidR="00895EFC" w:rsidRPr="00753949" w:rsidRDefault="00895EFC" w:rsidP="00054166">
            <w:pPr>
              <w:spacing w:after="0" w:line="240" w:lineRule="auto"/>
              <w:jc w:val="both"/>
              <w:rPr>
                <w:rFonts w:ascii="Century Gothic" w:eastAsia="Times New Roman" w:hAnsi="Century Gothic" w:cs="Times New Roman"/>
                <w:sz w:val="18"/>
                <w:szCs w:val="18"/>
                <w:lang w:eastAsia="en-US"/>
              </w:rPr>
            </w:pPr>
            <w:r w:rsidRPr="00753949">
              <w:rPr>
                <w:rFonts w:ascii="Century Gothic" w:eastAsia="Times New Roman" w:hAnsi="Century Gothic" w:cs="Times New Roman"/>
                <w:sz w:val="18"/>
                <w:szCs w:val="18"/>
                <w:lang w:eastAsia="en-US"/>
              </w:rPr>
              <w:t> </w:t>
            </w:r>
          </w:p>
        </w:tc>
      </w:tr>
      <w:tr w:rsidR="00895EFC" w:rsidRPr="00753949" w14:paraId="5344DC17" w14:textId="77777777" w:rsidTr="00753949">
        <w:trPr>
          <w:trHeight w:val="1264"/>
        </w:trPr>
        <w:tc>
          <w:tcPr>
            <w:tcW w:w="1276" w:type="dxa"/>
            <w:vMerge/>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1C3AED0" w14:textId="77777777" w:rsidR="00895EFC" w:rsidRPr="00753949" w:rsidRDefault="00895EFC" w:rsidP="00054166">
            <w:pPr>
              <w:spacing w:after="0" w:line="240" w:lineRule="auto"/>
              <w:jc w:val="center"/>
              <w:rPr>
                <w:rFonts w:ascii="Century Gothic" w:eastAsia="Times New Roman" w:hAnsi="Century Gothic" w:cs="Times New Roman"/>
                <w:sz w:val="18"/>
                <w:szCs w:val="18"/>
                <w:lang w:eastAsia="en-US"/>
              </w:rPr>
            </w:pPr>
          </w:p>
        </w:tc>
        <w:tc>
          <w:tcPr>
            <w:tcW w:w="1985" w:type="dxa"/>
            <w:vMerge/>
            <w:tcBorders>
              <w:top w:val="single" w:sz="4" w:space="0" w:color="auto"/>
              <w:left w:val="single" w:sz="4" w:space="0" w:color="auto"/>
              <w:bottom w:val="single" w:sz="4" w:space="0" w:color="000000"/>
              <w:right w:val="single" w:sz="4" w:space="0" w:color="000000"/>
            </w:tcBorders>
            <w:shd w:val="clear" w:color="auto" w:fill="A8D08D" w:themeFill="accent6" w:themeFillTint="99"/>
            <w:vAlign w:val="center"/>
            <w:hideMark/>
          </w:tcPr>
          <w:p w14:paraId="3B1624EC"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2890" w:type="dxa"/>
            <w:vMerge/>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B9356E3"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2472" w:type="dxa"/>
            <w:vMerge/>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14:paraId="3E79248C"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1158" w:type="dxa"/>
            <w:vMerge/>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87BDFC8"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r>
      <w:tr w:rsidR="00895EFC" w:rsidRPr="00753949" w14:paraId="371B0349" w14:textId="77777777" w:rsidTr="00895EFC">
        <w:trPr>
          <w:trHeight w:val="451"/>
        </w:trPr>
        <w:tc>
          <w:tcPr>
            <w:tcW w:w="1276" w:type="dxa"/>
            <w:vMerge w:val="restart"/>
            <w:tcBorders>
              <w:top w:val="nil"/>
              <w:left w:val="single" w:sz="4" w:space="0" w:color="auto"/>
              <w:bottom w:val="single" w:sz="4" w:space="0" w:color="auto"/>
              <w:right w:val="single" w:sz="4" w:space="0" w:color="auto"/>
            </w:tcBorders>
            <w:shd w:val="clear" w:color="000000" w:fill="CCFFCC"/>
            <w:vAlign w:val="center"/>
            <w:hideMark/>
          </w:tcPr>
          <w:p w14:paraId="13BC2F6E" w14:textId="77777777" w:rsidR="00895EFC" w:rsidRPr="00753949" w:rsidRDefault="00895EFC" w:rsidP="00054166">
            <w:pPr>
              <w:spacing w:after="0" w:line="240" w:lineRule="auto"/>
              <w:jc w:val="center"/>
              <w:rPr>
                <w:rFonts w:ascii="Century Gothic" w:eastAsia="Times New Roman" w:hAnsi="Century Gothic" w:cs="Times New Roman"/>
                <w:b/>
                <w:sz w:val="18"/>
                <w:szCs w:val="18"/>
                <w:lang w:eastAsia="en-US"/>
              </w:rPr>
            </w:pPr>
            <w:r w:rsidRPr="00753949">
              <w:rPr>
                <w:rFonts w:ascii="Century Gothic" w:eastAsia="Times New Roman" w:hAnsi="Century Gothic" w:cs="Times New Roman"/>
                <w:b/>
                <w:sz w:val="18"/>
                <w:szCs w:val="18"/>
                <w:lang w:eastAsia="en-US"/>
              </w:rPr>
              <w:t>Low Risk</w:t>
            </w:r>
          </w:p>
        </w:tc>
        <w:tc>
          <w:tcPr>
            <w:tcW w:w="1985" w:type="dxa"/>
            <w:vMerge w:val="restart"/>
            <w:tcBorders>
              <w:top w:val="single" w:sz="4" w:space="0" w:color="auto"/>
              <w:left w:val="single" w:sz="4" w:space="0" w:color="auto"/>
              <w:bottom w:val="single" w:sz="4" w:space="0" w:color="000000"/>
              <w:right w:val="single" w:sz="4" w:space="0" w:color="000000"/>
            </w:tcBorders>
            <w:shd w:val="clear" w:color="000000" w:fill="CCFFCC"/>
            <w:vAlign w:val="center"/>
            <w:hideMark/>
          </w:tcPr>
          <w:p w14:paraId="357456F8"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r w:rsidRPr="00753949">
              <w:rPr>
                <w:rFonts w:ascii="Century Gothic" w:eastAsia="Times New Roman" w:hAnsi="Century Gothic" w:cs="Times New Roman"/>
                <w:sz w:val="18"/>
                <w:szCs w:val="18"/>
                <w:lang w:eastAsia="en-US"/>
              </w:rPr>
              <w:t xml:space="preserve">Small rises and falls in value. </w:t>
            </w:r>
          </w:p>
          <w:p w14:paraId="4B3930EC"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p w14:paraId="6C16BCDA" w14:textId="3FA9A1EA" w:rsidR="00895EFC" w:rsidRPr="00753949" w:rsidRDefault="00895EFC" w:rsidP="00054166">
            <w:pPr>
              <w:spacing w:after="0" w:line="240" w:lineRule="auto"/>
              <w:rPr>
                <w:rFonts w:ascii="Century Gothic" w:eastAsia="Times New Roman" w:hAnsi="Century Gothic" w:cs="Times New Roman"/>
                <w:sz w:val="18"/>
                <w:szCs w:val="18"/>
                <w:lang w:eastAsia="en-US"/>
              </w:rPr>
            </w:pPr>
            <w:r w:rsidRPr="00753949">
              <w:rPr>
                <w:rFonts w:ascii="Century Gothic" w:eastAsia="Times New Roman" w:hAnsi="Century Gothic" w:cs="Times New Roman"/>
                <w:sz w:val="18"/>
                <w:szCs w:val="18"/>
                <w:lang w:eastAsia="en-US"/>
              </w:rPr>
              <w:t>Over time</w:t>
            </w:r>
            <w:r w:rsidR="00BD3C6D" w:rsidRPr="00753949">
              <w:rPr>
                <w:rFonts w:ascii="Century Gothic" w:eastAsia="Times New Roman" w:hAnsi="Century Gothic" w:cs="Times New Roman"/>
                <w:sz w:val="18"/>
                <w:szCs w:val="18"/>
                <w:lang w:eastAsia="en-US"/>
              </w:rPr>
              <w:t>,</w:t>
            </w:r>
            <w:r w:rsidRPr="00753949">
              <w:rPr>
                <w:rFonts w:ascii="Century Gothic" w:eastAsia="Times New Roman" w:hAnsi="Century Gothic" w:cs="Times New Roman"/>
                <w:sz w:val="18"/>
                <w:szCs w:val="18"/>
                <w:lang w:eastAsia="en-US"/>
              </w:rPr>
              <w:t xml:space="preserve"> expectation would be to grow to cover inflation but not much more.</w:t>
            </w:r>
          </w:p>
        </w:tc>
        <w:tc>
          <w:tcPr>
            <w:tcW w:w="2890" w:type="dxa"/>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14:paraId="3F57DF59" w14:textId="7721072A" w:rsidR="00895EFC" w:rsidRPr="00753949" w:rsidRDefault="00895EFC" w:rsidP="00054166">
            <w:pPr>
              <w:spacing w:after="0" w:line="240" w:lineRule="auto"/>
              <w:rPr>
                <w:rFonts w:ascii="Century Gothic" w:eastAsia="Times New Roman" w:hAnsi="Century Gothic" w:cs="Times New Roman"/>
                <w:sz w:val="18"/>
                <w:szCs w:val="18"/>
                <w:lang w:eastAsia="en-US"/>
              </w:rPr>
            </w:pPr>
            <w:r w:rsidRPr="00753949">
              <w:rPr>
                <w:rFonts w:ascii="Century Gothic" w:eastAsia="Times New Roman" w:hAnsi="Century Gothic" w:cs="Times New Roman"/>
                <w:sz w:val="18"/>
                <w:szCs w:val="18"/>
                <w:lang w:eastAsia="en-US"/>
              </w:rPr>
              <w:t>Investments will be accessible. In the short-term</w:t>
            </w:r>
            <w:r w:rsidR="004C54F4" w:rsidRPr="00753949">
              <w:rPr>
                <w:rFonts w:ascii="Century Gothic" w:eastAsia="Times New Roman" w:hAnsi="Century Gothic" w:cs="Times New Roman"/>
                <w:sz w:val="18"/>
                <w:szCs w:val="18"/>
                <w:lang w:eastAsia="en-US"/>
              </w:rPr>
              <w:t>,</w:t>
            </w:r>
            <w:r w:rsidRPr="00753949">
              <w:rPr>
                <w:rFonts w:ascii="Century Gothic" w:eastAsia="Times New Roman" w:hAnsi="Century Gothic" w:cs="Times New Roman"/>
                <w:sz w:val="18"/>
                <w:szCs w:val="18"/>
                <w:lang w:eastAsia="en-US"/>
              </w:rPr>
              <w:t xml:space="preserve"> small capital losses may occur, but in the longer term, small returns above inflation are expected but not guaranteed.  Large capital growth is not expected even in the long term. </w:t>
            </w:r>
          </w:p>
        </w:tc>
        <w:tc>
          <w:tcPr>
            <w:tcW w:w="2472" w:type="dxa"/>
            <w:vMerge w:val="restart"/>
            <w:tcBorders>
              <w:top w:val="nil"/>
              <w:left w:val="single" w:sz="4" w:space="0" w:color="auto"/>
              <w:bottom w:val="single" w:sz="4" w:space="0" w:color="000000"/>
              <w:right w:val="single" w:sz="4" w:space="0" w:color="auto"/>
            </w:tcBorders>
            <w:shd w:val="clear" w:color="000000" w:fill="CCFFCC"/>
            <w:vAlign w:val="center"/>
            <w:hideMark/>
          </w:tcPr>
          <w:p w14:paraId="29201F64" w14:textId="063B2B61" w:rsidR="00895EFC" w:rsidRPr="00753949" w:rsidRDefault="00895EFC" w:rsidP="00054166">
            <w:pPr>
              <w:spacing w:after="0" w:line="240" w:lineRule="auto"/>
              <w:rPr>
                <w:rFonts w:ascii="Century Gothic" w:eastAsia="Times New Roman" w:hAnsi="Century Gothic" w:cs="Times New Roman"/>
                <w:sz w:val="18"/>
                <w:szCs w:val="18"/>
                <w:lang w:eastAsia="en-US"/>
              </w:rPr>
            </w:pPr>
            <w:r w:rsidRPr="00753949">
              <w:rPr>
                <w:rFonts w:ascii="Century Gothic" w:eastAsia="Times New Roman" w:hAnsi="Century Gothic" w:cs="Times New Roman"/>
                <w:sz w:val="18"/>
                <w:szCs w:val="18"/>
                <w:lang w:eastAsia="en-US"/>
              </w:rPr>
              <w:t xml:space="preserve">People who have sufficient money to cover lifestyle </w:t>
            </w:r>
            <w:proofErr w:type="gramStart"/>
            <w:r w:rsidRPr="00753949">
              <w:rPr>
                <w:rFonts w:ascii="Century Gothic" w:eastAsia="Times New Roman" w:hAnsi="Century Gothic" w:cs="Times New Roman"/>
                <w:sz w:val="18"/>
                <w:szCs w:val="18"/>
                <w:lang w:eastAsia="en-US"/>
              </w:rPr>
              <w:t>expenses, and</w:t>
            </w:r>
            <w:proofErr w:type="gramEnd"/>
            <w:r w:rsidRPr="00753949">
              <w:rPr>
                <w:rFonts w:ascii="Century Gothic" w:eastAsia="Times New Roman" w:hAnsi="Century Gothic" w:cs="Times New Roman"/>
                <w:sz w:val="18"/>
                <w:szCs w:val="18"/>
                <w:lang w:eastAsia="en-US"/>
              </w:rPr>
              <w:t xml:space="preserve"> are investi</w:t>
            </w:r>
            <w:r w:rsidR="00DB785C" w:rsidRPr="00753949">
              <w:rPr>
                <w:rFonts w:ascii="Century Gothic" w:eastAsia="Times New Roman" w:hAnsi="Century Gothic" w:cs="Times New Roman"/>
                <w:sz w:val="18"/>
                <w:szCs w:val="18"/>
                <w:lang w:eastAsia="en-US"/>
              </w:rPr>
              <w:t>ng to just to protect the after-</w:t>
            </w:r>
            <w:r w:rsidRPr="00753949">
              <w:rPr>
                <w:rFonts w:ascii="Century Gothic" w:eastAsia="Times New Roman" w:hAnsi="Century Gothic" w:cs="Times New Roman"/>
                <w:sz w:val="18"/>
                <w:szCs w:val="18"/>
                <w:lang w:eastAsia="en-US"/>
              </w:rPr>
              <w:t>inflation value of their investments or make up a small shortfall.</w:t>
            </w:r>
          </w:p>
        </w:tc>
        <w:tc>
          <w:tcPr>
            <w:tcW w:w="1158" w:type="dxa"/>
            <w:vMerge w:val="restart"/>
            <w:tcBorders>
              <w:top w:val="nil"/>
              <w:left w:val="single" w:sz="4" w:space="0" w:color="auto"/>
              <w:bottom w:val="single" w:sz="4" w:space="0" w:color="auto"/>
              <w:right w:val="single" w:sz="4" w:space="0" w:color="auto"/>
            </w:tcBorders>
            <w:shd w:val="clear" w:color="000000" w:fill="CCFFCC"/>
            <w:noWrap/>
            <w:vAlign w:val="center"/>
            <w:hideMark/>
          </w:tcPr>
          <w:p w14:paraId="506112CC" w14:textId="77777777" w:rsidR="00895EFC" w:rsidRPr="00753949" w:rsidRDefault="00895EFC" w:rsidP="00054166">
            <w:pPr>
              <w:spacing w:after="0" w:line="240" w:lineRule="auto"/>
              <w:jc w:val="both"/>
              <w:rPr>
                <w:rFonts w:ascii="Century Gothic" w:eastAsia="Times New Roman" w:hAnsi="Century Gothic" w:cs="Times New Roman"/>
                <w:sz w:val="18"/>
                <w:szCs w:val="18"/>
                <w:lang w:eastAsia="en-US"/>
              </w:rPr>
            </w:pPr>
            <w:r w:rsidRPr="00753949">
              <w:rPr>
                <w:rFonts w:ascii="Century Gothic" w:eastAsia="Times New Roman" w:hAnsi="Century Gothic" w:cs="Times New Roman"/>
                <w:sz w:val="18"/>
                <w:szCs w:val="18"/>
                <w:lang w:eastAsia="en-US"/>
              </w:rPr>
              <w:t> </w:t>
            </w:r>
          </w:p>
        </w:tc>
      </w:tr>
      <w:tr w:rsidR="00895EFC" w:rsidRPr="00753949" w14:paraId="5183EC40" w14:textId="77777777" w:rsidTr="00895EFC">
        <w:trPr>
          <w:trHeight w:val="451"/>
        </w:trPr>
        <w:tc>
          <w:tcPr>
            <w:tcW w:w="1276" w:type="dxa"/>
            <w:vMerge/>
            <w:tcBorders>
              <w:top w:val="nil"/>
              <w:left w:val="single" w:sz="4" w:space="0" w:color="auto"/>
              <w:bottom w:val="single" w:sz="4" w:space="0" w:color="auto"/>
              <w:right w:val="single" w:sz="4" w:space="0" w:color="auto"/>
            </w:tcBorders>
            <w:vAlign w:val="center"/>
            <w:hideMark/>
          </w:tcPr>
          <w:p w14:paraId="2259E5EE" w14:textId="77777777" w:rsidR="00895EFC" w:rsidRPr="00753949" w:rsidRDefault="00895EFC" w:rsidP="00054166">
            <w:pPr>
              <w:spacing w:after="0" w:line="240" w:lineRule="auto"/>
              <w:jc w:val="center"/>
              <w:rPr>
                <w:rFonts w:ascii="Century Gothic" w:eastAsia="Times New Roman" w:hAnsi="Century Gothic" w:cs="Times New Roman"/>
                <w:sz w:val="18"/>
                <w:szCs w:val="18"/>
                <w:lang w:eastAsia="en-US"/>
              </w:rPr>
            </w:pPr>
          </w:p>
        </w:tc>
        <w:tc>
          <w:tcPr>
            <w:tcW w:w="1985" w:type="dxa"/>
            <w:vMerge/>
            <w:tcBorders>
              <w:top w:val="single" w:sz="4" w:space="0" w:color="auto"/>
              <w:left w:val="single" w:sz="4" w:space="0" w:color="auto"/>
              <w:bottom w:val="single" w:sz="4" w:space="0" w:color="000000"/>
              <w:right w:val="single" w:sz="4" w:space="0" w:color="000000"/>
            </w:tcBorders>
            <w:vAlign w:val="center"/>
            <w:hideMark/>
          </w:tcPr>
          <w:p w14:paraId="6DD6B034"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2890" w:type="dxa"/>
            <w:vMerge/>
            <w:tcBorders>
              <w:top w:val="single" w:sz="4" w:space="0" w:color="auto"/>
              <w:left w:val="single" w:sz="4" w:space="0" w:color="auto"/>
              <w:bottom w:val="single" w:sz="4" w:space="0" w:color="auto"/>
              <w:right w:val="single" w:sz="4" w:space="0" w:color="auto"/>
            </w:tcBorders>
            <w:vAlign w:val="center"/>
            <w:hideMark/>
          </w:tcPr>
          <w:p w14:paraId="6032A570"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2472" w:type="dxa"/>
            <w:vMerge/>
            <w:tcBorders>
              <w:top w:val="nil"/>
              <w:left w:val="single" w:sz="4" w:space="0" w:color="auto"/>
              <w:bottom w:val="single" w:sz="4" w:space="0" w:color="000000"/>
              <w:right w:val="single" w:sz="4" w:space="0" w:color="auto"/>
            </w:tcBorders>
            <w:vAlign w:val="center"/>
            <w:hideMark/>
          </w:tcPr>
          <w:p w14:paraId="12019EEB"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1158" w:type="dxa"/>
            <w:vMerge/>
            <w:tcBorders>
              <w:top w:val="nil"/>
              <w:left w:val="single" w:sz="4" w:space="0" w:color="auto"/>
              <w:bottom w:val="single" w:sz="4" w:space="0" w:color="auto"/>
              <w:right w:val="single" w:sz="4" w:space="0" w:color="auto"/>
            </w:tcBorders>
            <w:vAlign w:val="center"/>
            <w:hideMark/>
          </w:tcPr>
          <w:p w14:paraId="633A600E"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r>
      <w:tr w:rsidR="00895EFC" w:rsidRPr="00753949" w14:paraId="2F99E59A" w14:textId="77777777" w:rsidTr="00895EFC">
        <w:trPr>
          <w:trHeight w:val="451"/>
        </w:trPr>
        <w:tc>
          <w:tcPr>
            <w:tcW w:w="1276" w:type="dxa"/>
            <w:vMerge/>
            <w:tcBorders>
              <w:top w:val="nil"/>
              <w:left w:val="single" w:sz="4" w:space="0" w:color="auto"/>
              <w:bottom w:val="single" w:sz="4" w:space="0" w:color="auto"/>
              <w:right w:val="single" w:sz="4" w:space="0" w:color="auto"/>
            </w:tcBorders>
            <w:vAlign w:val="center"/>
            <w:hideMark/>
          </w:tcPr>
          <w:p w14:paraId="4D0B340F" w14:textId="77777777" w:rsidR="00895EFC" w:rsidRPr="00753949" w:rsidRDefault="00895EFC" w:rsidP="00054166">
            <w:pPr>
              <w:spacing w:after="0" w:line="240" w:lineRule="auto"/>
              <w:jc w:val="center"/>
              <w:rPr>
                <w:rFonts w:ascii="Century Gothic" w:eastAsia="Times New Roman" w:hAnsi="Century Gothic" w:cs="Times New Roman"/>
                <w:sz w:val="18"/>
                <w:szCs w:val="18"/>
                <w:lang w:eastAsia="en-US"/>
              </w:rPr>
            </w:pPr>
          </w:p>
        </w:tc>
        <w:tc>
          <w:tcPr>
            <w:tcW w:w="1985" w:type="dxa"/>
            <w:vMerge/>
            <w:tcBorders>
              <w:top w:val="single" w:sz="4" w:space="0" w:color="auto"/>
              <w:left w:val="single" w:sz="4" w:space="0" w:color="auto"/>
              <w:bottom w:val="single" w:sz="4" w:space="0" w:color="000000"/>
              <w:right w:val="single" w:sz="4" w:space="0" w:color="000000"/>
            </w:tcBorders>
            <w:vAlign w:val="center"/>
            <w:hideMark/>
          </w:tcPr>
          <w:p w14:paraId="41D8F100"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2890" w:type="dxa"/>
            <w:vMerge/>
            <w:tcBorders>
              <w:top w:val="single" w:sz="4" w:space="0" w:color="auto"/>
              <w:left w:val="single" w:sz="4" w:space="0" w:color="auto"/>
              <w:bottom w:val="single" w:sz="4" w:space="0" w:color="auto"/>
              <w:right w:val="single" w:sz="4" w:space="0" w:color="auto"/>
            </w:tcBorders>
            <w:vAlign w:val="center"/>
            <w:hideMark/>
          </w:tcPr>
          <w:p w14:paraId="3AA266C4"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2472" w:type="dxa"/>
            <w:vMerge/>
            <w:tcBorders>
              <w:top w:val="nil"/>
              <w:left w:val="single" w:sz="4" w:space="0" w:color="auto"/>
              <w:bottom w:val="single" w:sz="4" w:space="0" w:color="000000"/>
              <w:right w:val="single" w:sz="4" w:space="0" w:color="auto"/>
            </w:tcBorders>
            <w:vAlign w:val="center"/>
            <w:hideMark/>
          </w:tcPr>
          <w:p w14:paraId="034D37E9"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1158" w:type="dxa"/>
            <w:vMerge/>
            <w:tcBorders>
              <w:top w:val="nil"/>
              <w:left w:val="single" w:sz="4" w:space="0" w:color="auto"/>
              <w:bottom w:val="single" w:sz="4" w:space="0" w:color="auto"/>
              <w:right w:val="single" w:sz="4" w:space="0" w:color="auto"/>
            </w:tcBorders>
            <w:vAlign w:val="center"/>
            <w:hideMark/>
          </w:tcPr>
          <w:p w14:paraId="44669CCB"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r>
      <w:tr w:rsidR="00895EFC" w:rsidRPr="00753949" w14:paraId="56BDA375" w14:textId="77777777" w:rsidTr="00895EFC">
        <w:trPr>
          <w:trHeight w:val="451"/>
        </w:trPr>
        <w:tc>
          <w:tcPr>
            <w:tcW w:w="1276" w:type="dxa"/>
            <w:vMerge/>
            <w:tcBorders>
              <w:top w:val="nil"/>
              <w:left w:val="single" w:sz="4" w:space="0" w:color="auto"/>
              <w:bottom w:val="single" w:sz="4" w:space="0" w:color="auto"/>
              <w:right w:val="single" w:sz="4" w:space="0" w:color="auto"/>
            </w:tcBorders>
            <w:vAlign w:val="center"/>
            <w:hideMark/>
          </w:tcPr>
          <w:p w14:paraId="3E0A04DC" w14:textId="77777777" w:rsidR="00895EFC" w:rsidRPr="00753949" w:rsidRDefault="00895EFC" w:rsidP="00054166">
            <w:pPr>
              <w:spacing w:after="0" w:line="240" w:lineRule="auto"/>
              <w:jc w:val="center"/>
              <w:rPr>
                <w:rFonts w:ascii="Century Gothic" w:eastAsia="Times New Roman" w:hAnsi="Century Gothic" w:cs="Times New Roman"/>
                <w:sz w:val="18"/>
                <w:szCs w:val="18"/>
                <w:lang w:eastAsia="en-US"/>
              </w:rPr>
            </w:pPr>
          </w:p>
        </w:tc>
        <w:tc>
          <w:tcPr>
            <w:tcW w:w="1985" w:type="dxa"/>
            <w:vMerge/>
            <w:tcBorders>
              <w:top w:val="single" w:sz="4" w:space="0" w:color="auto"/>
              <w:left w:val="single" w:sz="4" w:space="0" w:color="auto"/>
              <w:bottom w:val="single" w:sz="4" w:space="0" w:color="000000"/>
              <w:right w:val="single" w:sz="4" w:space="0" w:color="000000"/>
            </w:tcBorders>
            <w:vAlign w:val="center"/>
            <w:hideMark/>
          </w:tcPr>
          <w:p w14:paraId="21694371"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2890" w:type="dxa"/>
            <w:vMerge/>
            <w:tcBorders>
              <w:top w:val="single" w:sz="4" w:space="0" w:color="auto"/>
              <w:left w:val="single" w:sz="4" w:space="0" w:color="auto"/>
              <w:bottom w:val="single" w:sz="4" w:space="0" w:color="auto"/>
              <w:right w:val="single" w:sz="4" w:space="0" w:color="auto"/>
            </w:tcBorders>
            <w:vAlign w:val="center"/>
            <w:hideMark/>
          </w:tcPr>
          <w:p w14:paraId="5E4CFF85"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2472" w:type="dxa"/>
            <w:vMerge/>
            <w:tcBorders>
              <w:top w:val="nil"/>
              <w:left w:val="single" w:sz="4" w:space="0" w:color="auto"/>
              <w:bottom w:val="single" w:sz="4" w:space="0" w:color="000000"/>
              <w:right w:val="single" w:sz="4" w:space="0" w:color="auto"/>
            </w:tcBorders>
            <w:vAlign w:val="center"/>
            <w:hideMark/>
          </w:tcPr>
          <w:p w14:paraId="4AF3775E"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1158" w:type="dxa"/>
            <w:vMerge/>
            <w:tcBorders>
              <w:top w:val="nil"/>
              <w:left w:val="single" w:sz="4" w:space="0" w:color="auto"/>
              <w:bottom w:val="single" w:sz="4" w:space="0" w:color="auto"/>
              <w:right w:val="single" w:sz="4" w:space="0" w:color="auto"/>
            </w:tcBorders>
            <w:vAlign w:val="center"/>
            <w:hideMark/>
          </w:tcPr>
          <w:p w14:paraId="79373A1F"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r>
      <w:tr w:rsidR="00895EFC" w:rsidRPr="00753949" w14:paraId="0F9939A1" w14:textId="77777777" w:rsidTr="00753949">
        <w:trPr>
          <w:trHeight w:val="1433"/>
        </w:trPr>
        <w:tc>
          <w:tcPr>
            <w:tcW w:w="1276" w:type="dxa"/>
            <w:vMerge/>
            <w:tcBorders>
              <w:top w:val="nil"/>
              <w:left w:val="single" w:sz="4" w:space="0" w:color="auto"/>
              <w:bottom w:val="single" w:sz="4" w:space="0" w:color="auto"/>
              <w:right w:val="single" w:sz="4" w:space="0" w:color="auto"/>
            </w:tcBorders>
            <w:vAlign w:val="center"/>
            <w:hideMark/>
          </w:tcPr>
          <w:p w14:paraId="4434A46F" w14:textId="77777777" w:rsidR="00895EFC" w:rsidRPr="00753949" w:rsidRDefault="00895EFC" w:rsidP="00054166">
            <w:pPr>
              <w:spacing w:after="0" w:line="240" w:lineRule="auto"/>
              <w:jc w:val="center"/>
              <w:rPr>
                <w:rFonts w:ascii="Century Gothic" w:eastAsia="Times New Roman" w:hAnsi="Century Gothic" w:cs="Times New Roman"/>
                <w:sz w:val="18"/>
                <w:szCs w:val="18"/>
                <w:lang w:eastAsia="en-US"/>
              </w:rPr>
            </w:pPr>
          </w:p>
        </w:tc>
        <w:tc>
          <w:tcPr>
            <w:tcW w:w="1985" w:type="dxa"/>
            <w:vMerge/>
            <w:tcBorders>
              <w:top w:val="single" w:sz="4" w:space="0" w:color="auto"/>
              <w:left w:val="single" w:sz="4" w:space="0" w:color="auto"/>
              <w:bottom w:val="single" w:sz="4" w:space="0" w:color="000000"/>
              <w:right w:val="single" w:sz="4" w:space="0" w:color="000000"/>
            </w:tcBorders>
            <w:vAlign w:val="center"/>
            <w:hideMark/>
          </w:tcPr>
          <w:p w14:paraId="32950380"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2890" w:type="dxa"/>
            <w:vMerge/>
            <w:tcBorders>
              <w:top w:val="single" w:sz="4" w:space="0" w:color="auto"/>
              <w:left w:val="single" w:sz="4" w:space="0" w:color="auto"/>
              <w:bottom w:val="single" w:sz="4" w:space="0" w:color="auto"/>
              <w:right w:val="single" w:sz="4" w:space="0" w:color="auto"/>
            </w:tcBorders>
            <w:vAlign w:val="center"/>
            <w:hideMark/>
          </w:tcPr>
          <w:p w14:paraId="19B422CA"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2472" w:type="dxa"/>
            <w:vMerge/>
            <w:tcBorders>
              <w:top w:val="nil"/>
              <w:left w:val="single" w:sz="4" w:space="0" w:color="auto"/>
              <w:bottom w:val="single" w:sz="4" w:space="0" w:color="000000"/>
              <w:right w:val="single" w:sz="4" w:space="0" w:color="auto"/>
            </w:tcBorders>
            <w:vAlign w:val="center"/>
            <w:hideMark/>
          </w:tcPr>
          <w:p w14:paraId="2EA75854"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1158" w:type="dxa"/>
            <w:vMerge/>
            <w:tcBorders>
              <w:top w:val="nil"/>
              <w:left w:val="single" w:sz="4" w:space="0" w:color="auto"/>
              <w:bottom w:val="single" w:sz="4" w:space="0" w:color="auto"/>
              <w:right w:val="single" w:sz="4" w:space="0" w:color="auto"/>
            </w:tcBorders>
            <w:vAlign w:val="center"/>
            <w:hideMark/>
          </w:tcPr>
          <w:p w14:paraId="64F46A27"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r>
      <w:tr w:rsidR="00895EFC" w:rsidRPr="00753949" w14:paraId="58290806" w14:textId="77777777" w:rsidTr="00753949">
        <w:trPr>
          <w:trHeight w:val="451"/>
        </w:trPr>
        <w:tc>
          <w:tcPr>
            <w:tcW w:w="1276"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044498B4" w14:textId="77777777" w:rsidR="00895EFC" w:rsidRPr="00753949" w:rsidRDefault="00895EFC" w:rsidP="00054166">
            <w:pPr>
              <w:spacing w:after="0" w:line="240" w:lineRule="auto"/>
              <w:jc w:val="center"/>
              <w:rPr>
                <w:rFonts w:ascii="Century Gothic" w:eastAsia="Times New Roman" w:hAnsi="Century Gothic" w:cs="Times New Roman"/>
                <w:b/>
                <w:sz w:val="18"/>
                <w:szCs w:val="18"/>
                <w:lang w:eastAsia="en-US"/>
              </w:rPr>
            </w:pPr>
            <w:r w:rsidRPr="00753949">
              <w:rPr>
                <w:rFonts w:ascii="Century Gothic" w:eastAsia="Times New Roman" w:hAnsi="Century Gothic" w:cs="Times New Roman"/>
                <w:b/>
                <w:sz w:val="18"/>
                <w:szCs w:val="18"/>
                <w:lang w:eastAsia="en-US"/>
              </w:rPr>
              <w:t>Medium Risk</w:t>
            </w:r>
          </w:p>
        </w:tc>
        <w:tc>
          <w:tcPr>
            <w:tcW w:w="1985" w:type="dxa"/>
            <w:vMerge w:val="restart"/>
            <w:tcBorders>
              <w:top w:val="single" w:sz="4" w:space="0" w:color="auto"/>
              <w:left w:val="single" w:sz="4" w:space="0" w:color="auto"/>
              <w:bottom w:val="single" w:sz="4" w:space="0" w:color="000000"/>
              <w:right w:val="single" w:sz="4" w:space="0" w:color="000000"/>
            </w:tcBorders>
            <w:shd w:val="clear" w:color="000000" w:fill="FFFF99"/>
            <w:vAlign w:val="center"/>
            <w:hideMark/>
          </w:tcPr>
          <w:p w14:paraId="56A2E23E" w14:textId="04241407" w:rsidR="00895EFC" w:rsidRPr="00753949" w:rsidRDefault="00895EFC" w:rsidP="00054166">
            <w:pPr>
              <w:spacing w:after="0" w:line="240" w:lineRule="auto"/>
              <w:rPr>
                <w:rFonts w:ascii="Century Gothic" w:eastAsia="Times New Roman" w:hAnsi="Century Gothic" w:cs="Times New Roman"/>
                <w:sz w:val="18"/>
                <w:szCs w:val="18"/>
                <w:lang w:eastAsia="en-US"/>
              </w:rPr>
            </w:pPr>
            <w:r w:rsidRPr="00753949">
              <w:rPr>
                <w:rFonts w:ascii="Century Gothic" w:eastAsia="Times New Roman" w:hAnsi="Century Gothic" w:cs="Times New Roman"/>
                <w:sz w:val="18"/>
                <w:szCs w:val="18"/>
                <w:lang w:eastAsia="en-US"/>
              </w:rPr>
              <w:t>Significant but not large rises and falls in value. Over time</w:t>
            </w:r>
            <w:r w:rsidR="004C54F4" w:rsidRPr="00753949">
              <w:rPr>
                <w:rFonts w:ascii="Century Gothic" w:eastAsia="Times New Roman" w:hAnsi="Century Gothic" w:cs="Times New Roman"/>
                <w:sz w:val="18"/>
                <w:szCs w:val="18"/>
                <w:lang w:eastAsia="en-US"/>
              </w:rPr>
              <w:t>,</w:t>
            </w:r>
            <w:r w:rsidRPr="00753949">
              <w:rPr>
                <w:rFonts w:ascii="Century Gothic" w:eastAsia="Times New Roman" w:hAnsi="Century Gothic" w:cs="Times New Roman"/>
                <w:sz w:val="18"/>
                <w:szCs w:val="18"/>
                <w:lang w:eastAsia="en-US"/>
              </w:rPr>
              <w:t xml:space="preserve"> expectation would be to grow to cover inflation by some margin. </w:t>
            </w:r>
          </w:p>
        </w:tc>
        <w:tc>
          <w:tcPr>
            <w:tcW w:w="2890" w:type="dxa"/>
            <w:vMerge w:val="restart"/>
            <w:tcBorders>
              <w:top w:val="single" w:sz="4" w:space="0" w:color="auto"/>
              <w:left w:val="single" w:sz="4" w:space="0" w:color="auto"/>
              <w:bottom w:val="single" w:sz="4" w:space="0" w:color="000000"/>
              <w:right w:val="single" w:sz="4" w:space="0" w:color="000000"/>
            </w:tcBorders>
            <w:shd w:val="clear" w:color="000000" w:fill="FFFF99"/>
            <w:vAlign w:val="center"/>
            <w:hideMark/>
          </w:tcPr>
          <w:p w14:paraId="41CE4ED9" w14:textId="491CC00E" w:rsidR="00895EFC" w:rsidRPr="00753949" w:rsidRDefault="00895EFC" w:rsidP="00054166">
            <w:pPr>
              <w:spacing w:after="0" w:line="240" w:lineRule="auto"/>
              <w:rPr>
                <w:rFonts w:ascii="Century Gothic" w:eastAsia="Times New Roman" w:hAnsi="Century Gothic" w:cs="Times New Roman"/>
                <w:sz w:val="18"/>
                <w:szCs w:val="18"/>
                <w:lang w:eastAsia="en-US"/>
              </w:rPr>
            </w:pPr>
            <w:r w:rsidRPr="00753949">
              <w:rPr>
                <w:rFonts w:ascii="Century Gothic" w:eastAsia="Times New Roman" w:hAnsi="Century Gothic" w:cs="Times New Roman"/>
                <w:sz w:val="18"/>
                <w:szCs w:val="18"/>
                <w:lang w:eastAsia="en-US"/>
              </w:rPr>
              <w:t>Investments w</w:t>
            </w:r>
            <w:r w:rsidR="00DB785C" w:rsidRPr="00753949">
              <w:rPr>
                <w:rFonts w:ascii="Century Gothic" w:eastAsia="Times New Roman" w:hAnsi="Century Gothic" w:cs="Times New Roman"/>
                <w:sz w:val="18"/>
                <w:szCs w:val="18"/>
                <w:lang w:eastAsia="en-US"/>
              </w:rPr>
              <w:t>ill be accessible. In the short-</w:t>
            </w:r>
            <w:r w:rsidRPr="00753949">
              <w:rPr>
                <w:rFonts w:ascii="Century Gothic" w:eastAsia="Times New Roman" w:hAnsi="Century Gothic" w:cs="Times New Roman"/>
                <w:sz w:val="18"/>
                <w:szCs w:val="18"/>
                <w:lang w:eastAsia="en-US"/>
              </w:rPr>
              <w:t>term</w:t>
            </w:r>
            <w:r w:rsidR="004C54F4" w:rsidRPr="00753949">
              <w:rPr>
                <w:rFonts w:ascii="Century Gothic" w:eastAsia="Times New Roman" w:hAnsi="Century Gothic" w:cs="Times New Roman"/>
                <w:sz w:val="18"/>
                <w:szCs w:val="18"/>
                <w:lang w:eastAsia="en-US"/>
              </w:rPr>
              <w:t>,</w:t>
            </w:r>
            <w:r w:rsidRPr="00753949">
              <w:rPr>
                <w:rFonts w:ascii="Century Gothic" w:eastAsia="Times New Roman" w:hAnsi="Century Gothic" w:cs="Times New Roman"/>
                <w:sz w:val="18"/>
                <w:szCs w:val="18"/>
                <w:lang w:eastAsia="en-US"/>
              </w:rPr>
              <w:t xml:space="preserve"> capital losses may occur, but in the longer term, significant returns above inflation are expected, but not guaranteed. </w:t>
            </w:r>
          </w:p>
        </w:tc>
        <w:tc>
          <w:tcPr>
            <w:tcW w:w="2472"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22B3AB02"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r w:rsidRPr="00753949">
              <w:rPr>
                <w:rFonts w:ascii="Century Gothic" w:eastAsia="Times New Roman" w:hAnsi="Century Gothic" w:cs="Times New Roman"/>
                <w:sz w:val="18"/>
                <w:szCs w:val="18"/>
                <w:lang w:eastAsia="en-US"/>
              </w:rPr>
              <w:t xml:space="preserve">People who need significant growth in capital over the longer term, typically those still working and saving to retire. </w:t>
            </w:r>
            <w:proofErr w:type="gramStart"/>
            <w:r w:rsidRPr="00753949">
              <w:rPr>
                <w:rFonts w:ascii="Century Gothic" w:eastAsia="Times New Roman" w:hAnsi="Century Gothic" w:cs="Times New Roman"/>
                <w:sz w:val="18"/>
                <w:szCs w:val="18"/>
                <w:lang w:eastAsia="en-US"/>
              </w:rPr>
              <w:t>Also</w:t>
            </w:r>
            <w:proofErr w:type="gramEnd"/>
            <w:r w:rsidRPr="00753949">
              <w:rPr>
                <w:rFonts w:ascii="Century Gothic" w:eastAsia="Times New Roman" w:hAnsi="Century Gothic" w:cs="Times New Roman"/>
                <w:sz w:val="18"/>
                <w:szCs w:val="18"/>
                <w:lang w:eastAsia="en-US"/>
              </w:rPr>
              <w:t xml:space="preserve"> for those that don’t need significant growth, but also wish to take more than inflation risk.</w:t>
            </w:r>
          </w:p>
        </w:tc>
        <w:tc>
          <w:tcPr>
            <w:tcW w:w="1158" w:type="dxa"/>
            <w:vMerge w:val="restart"/>
            <w:tcBorders>
              <w:top w:val="single" w:sz="4" w:space="0" w:color="auto"/>
              <w:left w:val="single" w:sz="4" w:space="0" w:color="auto"/>
              <w:bottom w:val="single" w:sz="4" w:space="0" w:color="000000"/>
              <w:right w:val="single" w:sz="4" w:space="0" w:color="auto"/>
            </w:tcBorders>
            <w:shd w:val="clear" w:color="000000" w:fill="FFFF99"/>
            <w:noWrap/>
            <w:vAlign w:val="center"/>
            <w:hideMark/>
          </w:tcPr>
          <w:p w14:paraId="61B42CD6" w14:textId="77777777" w:rsidR="00895EFC" w:rsidRPr="00753949" w:rsidRDefault="00895EFC" w:rsidP="00054166">
            <w:pPr>
              <w:spacing w:after="0" w:line="240" w:lineRule="auto"/>
              <w:jc w:val="both"/>
              <w:rPr>
                <w:rFonts w:ascii="Century Gothic" w:eastAsia="Times New Roman" w:hAnsi="Century Gothic" w:cs="Times New Roman"/>
                <w:sz w:val="18"/>
                <w:szCs w:val="18"/>
                <w:lang w:eastAsia="en-US"/>
              </w:rPr>
            </w:pPr>
            <w:r w:rsidRPr="00753949">
              <w:rPr>
                <w:rFonts w:ascii="Century Gothic" w:eastAsia="Times New Roman" w:hAnsi="Century Gothic" w:cs="Times New Roman"/>
                <w:sz w:val="18"/>
                <w:szCs w:val="18"/>
                <w:lang w:eastAsia="en-US"/>
              </w:rPr>
              <w:t> </w:t>
            </w:r>
          </w:p>
        </w:tc>
      </w:tr>
      <w:tr w:rsidR="00895EFC" w:rsidRPr="00753949" w14:paraId="2CC60284" w14:textId="77777777" w:rsidTr="00753949">
        <w:trPr>
          <w:trHeight w:val="260"/>
        </w:trPr>
        <w:tc>
          <w:tcPr>
            <w:tcW w:w="1276" w:type="dxa"/>
            <w:vMerge/>
            <w:tcBorders>
              <w:top w:val="nil"/>
              <w:left w:val="single" w:sz="4" w:space="0" w:color="auto"/>
              <w:bottom w:val="single" w:sz="4" w:space="0" w:color="000000"/>
              <w:right w:val="single" w:sz="4" w:space="0" w:color="auto"/>
            </w:tcBorders>
            <w:shd w:val="clear" w:color="000000" w:fill="FFFF99"/>
            <w:vAlign w:val="center"/>
          </w:tcPr>
          <w:p w14:paraId="3925B8CE" w14:textId="77777777" w:rsidR="00895EFC" w:rsidRPr="00753949" w:rsidRDefault="00895EFC" w:rsidP="00054166">
            <w:pPr>
              <w:spacing w:after="0" w:line="240" w:lineRule="auto"/>
              <w:jc w:val="center"/>
              <w:rPr>
                <w:rFonts w:ascii="Century Gothic" w:eastAsia="Times New Roman" w:hAnsi="Century Gothic" w:cs="Times New Roman"/>
                <w:b/>
                <w:sz w:val="18"/>
                <w:szCs w:val="18"/>
                <w:lang w:eastAsia="en-US"/>
              </w:rPr>
            </w:pPr>
          </w:p>
        </w:tc>
        <w:tc>
          <w:tcPr>
            <w:tcW w:w="1985" w:type="dxa"/>
            <w:vMerge/>
            <w:tcBorders>
              <w:top w:val="single" w:sz="4" w:space="0" w:color="auto"/>
              <w:left w:val="single" w:sz="4" w:space="0" w:color="auto"/>
              <w:bottom w:val="single" w:sz="4" w:space="0" w:color="000000"/>
              <w:right w:val="single" w:sz="4" w:space="0" w:color="000000"/>
            </w:tcBorders>
            <w:shd w:val="clear" w:color="000000" w:fill="FFFF99"/>
            <w:vAlign w:val="center"/>
          </w:tcPr>
          <w:p w14:paraId="772F7C84"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2890" w:type="dxa"/>
            <w:vMerge/>
            <w:tcBorders>
              <w:top w:val="single" w:sz="4" w:space="0" w:color="auto"/>
              <w:left w:val="single" w:sz="4" w:space="0" w:color="auto"/>
              <w:bottom w:val="single" w:sz="4" w:space="0" w:color="000000"/>
              <w:right w:val="single" w:sz="4" w:space="0" w:color="000000"/>
            </w:tcBorders>
            <w:shd w:val="clear" w:color="000000" w:fill="FFFF99"/>
            <w:vAlign w:val="center"/>
          </w:tcPr>
          <w:p w14:paraId="73C8D14E"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2472" w:type="dxa"/>
            <w:vMerge/>
            <w:tcBorders>
              <w:top w:val="nil"/>
              <w:left w:val="single" w:sz="4" w:space="0" w:color="auto"/>
              <w:bottom w:val="single" w:sz="4" w:space="0" w:color="000000"/>
              <w:right w:val="single" w:sz="4" w:space="0" w:color="auto"/>
            </w:tcBorders>
            <w:shd w:val="clear" w:color="000000" w:fill="FFFF99"/>
            <w:vAlign w:val="center"/>
          </w:tcPr>
          <w:p w14:paraId="7A129930"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1158" w:type="dxa"/>
            <w:vMerge/>
            <w:tcBorders>
              <w:top w:val="single" w:sz="4" w:space="0" w:color="000000"/>
              <w:left w:val="single" w:sz="4" w:space="0" w:color="auto"/>
              <w:bottom w:val="single" w:sz="4" w:space="0" w:color="000000"/>
              <w:right w:val="single" w:sz="4" w:space="0" w:color="auto"/>
            </w:tcBorders>
            <w:shd w:val="clear" w:color="000000" w:fill="FFFF99"/>
            <w:noWrap/>
            <w:vAlign w:val="center"/>
          </w:tcPr>
          <w:p w14:paraId="368BD062" w14:textId="77777777" w:rsidR="00895EFC" w:rsidRPr="00753949" w:rsidRDefault="00895EFC" w:rsidP="00054166">
            <w:pPr>
              <w:spacing w:after="0" w:line="240" w:lineRule="auto"/>
              <w:jc w:val="both"/>
              <w:rPr>
                <w:rFonts w:ascii="Century Gothic" w:eastAsia="Times New Roman" w:hAnsi="Century Gothic" w:cs="Times New Roman"/>
                <w:sz w:val="18"/>
                <w:szCs w:val="18"/>
                <w:lang w:eastAsia="en-US"/>
              </w:rPr>
            </w:pPr>
          </w:p>
        </w:tc>
      </w:tr>
      <w:tr w:rsidR="00895EFC" w:rsidRPr="00753949" w14:paraId="24BEA505" w14:textId="77777777" w:rsidTr="00753949">
        <w:trPr>
          <w:trHeight w:val="260"/>
        </w:trPr>
        <w:tc>
          <w:tcPr>
            <w:tcW w:w="1276" w:type="dxa"/>
            <w:vMerge/>
            <w:tcBorders>
              <w:top w:val="nil"/>
              <w:left w:val="single" w:sz="4" w:space="0" w:color="auto"/>
              <w:bottom w:val="single" w:sz="4" w:space="0" w:color="000000"/>
              <w:right w:val="single" w:sz="4" w:space="0" w:color="auto"/>
            </w:tcBorders>
            <w:shd w:val="clear" w:color="000000" w:fill="FFFF99"/>
            <w:vAlign w:val="center"/>
          </w:tcPr>
          <w:p w14:paraId="435B3D4C" w14:textId="77777777" w:rsidR="00895EFC" w:rsidRPr="00753949" w:rsidRDefault="00895EFC" w:rsidP="00054166">
            <w:pPr>
              <w:spacing w:after="0" w:line="240" w:lineRule="auto"/>
              <w:jc w:val="center"/>
              <w:rPr>
                <w:rFonts w:ascii="Century Gothic" w:eastAsia="Times New Roman" w:hAnsi="Century Gothic" w:cs="Times New Roman"/>
                <w:b/>
                <w:sz w:val="18"/>
                <w:szCs w:val="18"/>
                <w:lang w:eastAsia="en-US"/>
              </w:rPr>
            </w:pPr>
          </w:p>
        </w:tc>
        <w:tc>
          <w:tcPr>
            <w:tcW w:w="1985" w:type="dxa"/>
            <w:vMerge/>
            <w:tcBorders>
              <w:top w:val="single" w:sz="4" w:space="0" w:color="auto"/>
              <w:left w:val="single" w:sz="4" w:space="0" w:color="auto"/>
              <w:bottom w:val="single" w:sz="4" w:space="0" w:color="000000"/>
              <w:right w:val="single" w:sz="4" w:space="0" w:color="000000"/>
            </w:tcBorders>
            <w:shd w:val="clear" w:color="000000" w:fill="FFFF99"/>
            <w:vAlign w:val="center"/>
          </w:tcPr>
          <w:p w14:paraId="1E4B610E"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2890" w:type="dxa"/>
            <w:vMerge/>
            <w:tcBorders>
              <w:top w:val="single" w:sz="4" w:space="0" w:color="auto"/>
              <w:left w:val="single" w:sz="4" w:space="0" w:color="auto"/>
              <w:bottom w:val="single" w:sz="4" w:space="0" w:color="000000"/>
              <w:right w:val="single" w:sz="4" w:space="0" w:color="000000"/>
            </w:tcBorders>
            <w:shd w:val="clear" w:color="000000" w:fill="FFFF99"/>
            <w:vAlign w:val="center"/>
          </w:tcPr>
          <w:p w14:paraId="4CD724C3"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2472" w:type="dxa"/>
            <w:vMerge/>
            <w:tcBorders>
              <w:top w:val="nil"/>
              <w:left w:val="single" w:sz="4" w:space="0" w:color="auto"/>
              <w:bottom w:val="single" w:sz="4" w:space="0" w:color="000000"/>
              <w:right w:val="single" w:sz="4" w:space="0" w:color="auto"/>
            </w:tcBorders>
            <w:shd w:val="clear" w:color="000000" w:fill="FFFF99"/>
            <w:vAlign w:val="center"/>
          </w:tcPr>
          <w:p w14:paraId="74AA1C09"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1158" w:type="dxa"/>
            <w:vMerge/>
            <w:tcBorders>
              <w:top w:val="single" w:sz="4" w:space="0" w:color="000000"/>
              <w:left w:val="single" w:sz="4" w:space="0" w:color="auto"/>
              <w:bottom w:val="single" w:sz="4" w:space="0" w:color="000000"/>
              <w:right w:val="single" w:sz="4" w:space="0" w:color="auto"/>
            </w:tcBorders>
            <w:shd w:val="clear" w:color="000000" w:fill="FFFF99"/>
            <w:noWrap/>
            <w:vAlign w:val="center"/>
          </w:tcPr>
          <w:p w14:paraId="3D02853F" w14:textId="77777777" w:rsidR="00895EFC" w:rsidRPr="00753949" w:rsidRDefault="00895EFC" w:rsidP="00054166">
            <w:pPr>
              <w:spacing w:after="0" w:line="240" w:lineRule="auto"/>
              <w:jc w:val="both"/>
              <w:rPr>
                <w:rFonts w:ascii="Century Gothic" w:eastAsia="Times New Roman" w:hAnsi="Century Gothic" w:cs="Times New Roman"/>
                <w:sz w:val="18"/>
                <w:szCs w:val="18"/>
                <w:lang w:eastAsia="en-US"/>
              </w:rPr>
            </w:pPr>
          </w:p>
        </w:tc>
      </w:tr>
      <w:tr w:rsidR="00895EFC" w:rsidRPr="00753949" w14:paraId="5EA67090" w14:textId="77777777" w:rsidTr="00753949">
        <w:trPr>
          <w:trHeight w:val="451"/>
        </w:trPr>
        <w:tc>
          <w:tcPr>
            <w:tcW w:w="1276" w:type="dxa"/>
            <w:vMerge/>
            <w:tcBorders>
              <w:top w:val="nil"/>
              <w:left w:val="single" w:sz="4" w:space="0" w:color="auto"/>
              <w:bottom w:val="single" w:sz="4" w:space="0" w:color="000000"/>
              <w:right w:val="single" w:sz="4" w:space="0" w:color="auto"/>
            </w:tcBorders>
            <w:vAlign w:val="center"/>
            <w:hideMark/>
          </w:tcPr>
          <w:p w14:paraId="40CD7035" w14:textId="77777777" w:rsidR="00895EFC" w:rsidRPr="00753949" w:rsidRDefault="00895EFC" w:rsidP="00054166">
            <w:pPr>
              <w:spacing w:after="0" w:line="240" w:lineRule="auto"/>
              <w:jc w:val="center"/>
              <w:rPr>
                <w:rFonts w:ascii="Century Gothic" w:eastAsia="Times New Roman" w:hAnsi="Century Gothic" w:cs="Times New Roman"/>
                <w:sz w:val="18"/>
                <w:szCs w:val="18"/>
                <w:lang w:eastAsia="en-US"/>
              </w:rPr>
            </w:pPr>
          </w:p>
        </w:tc>
        <w:tc>
          <w:tcPr>
            <w:tcW w:w="1985" w:type="dxa"/>
            <w:vMerge/>
            <w:tcBorders>
              <w:top w:val="single" w:sz="4" w:space="0" w:color="auto"/>
              <w:left w:val="single" w:sz="4" w:space="0" w:color="auto"/>
              <w:bottom w:val="single" w:sz="4" w:space="0" w:color="000000"/>
              <w:right w:val="single" w:sz="4" w:space="0" w:color="000000"/>
            </w:tcBorders>
            <w:vAlign w:val="center"/>
            <w:hideMark/>
          </w:tcPr>
          <w:p w14:paraId="24566E5B"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2890" w:type="dxa"/>
            <w:vMerge/>
            <w:tcBorders>
              <w:top w:val="single" w:sz="4" w:space="0" w:color="auto"/>
              <w:left w:val="single" w:sz="4" w:space="0" w:color="auto"/>
              <w:bottom w:val="single" w:sz="4" w:space="0" w:color="000000"/>
              <w:right w:val="single" w:sz="4" w:space="0" w:color="000000"/>
            </w:tcBorders>
            <w:vAlign w:val="center"/>
            <w:hideMark/>
          </w:tcPr>
          <w:p w14:paraId="22D46F61"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2472" w:type="dxa"/>
            <w:vMerge/>
            <w:tcBorders>
              <w:top w:val="nil"/>
              <w:left w:val="single" w:sz="4" w:space="0" w:color="auto"/>
              <w:bottom w:val="single" w:sz="4" w:space="0" w:color="000000"/>
              <w:right w:val="single" w:sz="4" w:space="0" w:color="auto"/>
            </w:tcBorders>
            <w:vAlign w:val="center"/>
            <w:hideMark/>
          </w:tcPr>
          <w:p w14:paraId="4AC1994E"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1158" w:type="dxa"/>
            <w:vMerge/>
            <w:tcBorders>
              <w:top w:val="single" w:sz="4" w:space="0" w:color="000000"/>
              <w:left w:val="single" w:sz="4" w:space="0" w:color="auto"/>
              <w:bottom w:val="single" w:sz="4" w:space="0" w:color="000000"/>
              <w:right w:val="single" w:sz="4" w:space="0" w:color="auto"/>
            </w:tcBorders>
            <w:vAlign w:val="center"/>
            <w:hideMark/>
          </w:tcPr>
          <w:p w14:paraId="0023209A"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r>
      <w:tr w:rsidR="00895EFC" w:rsidRPr="00753949" w14:paraId="09BBFB7D" w14:textId="77777777" w:rsidTr="00753949">
        <w:trPr>
          <w:trHeight w:val="451"/>
        </w:trPr>
        <w:tc>
          <w:tcPr>
            <w:tcW w:w="1276" w:type="dxa"/>
            <w:vMerge/>
            <w:tcBorders>
              <w:top w:val="nil"/>
              <w:left w:val="single" w:sz="4" w:space="0" w:color="auto"/>
              <w:bottom w:val="single" w:sz="4" w:space="0" w:color="000000"/>
              <w:right w:val="single" w:sz="4" w:space="0" w:color="auto"/>
            </w:tcBorders>
            <w:vAlign w:val="center"/>
            <w:hideMark/>
          </w:tcPr>
          <w:p w14:paraId="32391C22" w14:textId="77777777" w:rsidR="00895EFC" w:rsidRPr="00753949" w:rsidRDefault="00895EFC" w:rsidP="00054166">
            <w:pPr>
              <w:spacing w:after="0" w:line="240" w:lineRule="auto"/>
              <w:jc w:val="center"/>
              <w:rPr>
                <w:rFonts w:ascii="Century Gothic" w:eastAsia="Times New Roman" w:hAnsi="Century Gothic" w:cs="Times New Roman"/>
                <w:sz w:val="18"/>
                <w:szCs w:val="18"/>
                <w:lang w:eastAsia="en-US"/>
              </w:rPr>
            </w:pPr>
          </w:p>
        </w:tc>
        <w:tc>
          <w:tcPr>
            <w:tcW w:w="1985" w:type="dxa"/>
            <w:vMerge/>
            <w:tcBorders>
              <w:top w:val="single" w:sz="4" w:space="0" w:color="auto"/>
              <w:left w:val="single" w:sz="4" w:space="0" w:color="auto"/>
              <w:bottom w:val="single" w:sz="4" w:space="0" w:color="000000"/>
              <w:right w:val="single" w:sz="4" w:space="0" w:color="000000"/>
            </w:tcBorders>
            <w:vAlign w:val="center"/>
            <w:hideMark/>
          </w:tcPr>
          <w:p w14:paraId="53F901B8"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2890" w:type="dxa"/>
            <w:vMerge/>
            <w:tcBorders>
              <w:top w:val="single" w:sz="4" w:space="0" w:color="auto"/>
              <w:left w:val="single" w:sz="4" w:space="0" w:color="auto"/>
              <w:bottom w:val="single" w:sz="4" w:space="0" w:color="000000"/>
              <w:right w:val="single" w:sz="4" w:space="0" w:color="000000"/>
            </w:tcBorders>
            <w:vAlign w:val="center"/>
            <w:hideMark/>
          </w:tcPr>
          <w:p w14:paraId="12C3C09F"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2472" w:type="dxa"/>
            <w:vMerge/>
            <w:tcBorders>
              <w:top w:val="nil"/>
              <w:left w:val="single" w:sz="4" w:space="0" w:color="auto"/>
              <w:bottom w:val="single" w:sz="4" w:space="0" w:color="000000"/>
              <w:right w:val="single" w:sz="4" w:space="0" w:color="auto"/>
            </w:tcBorders>
            <w:vAlign w:val="center"/>
            <w:hideMark/>
          </w:tcPr>
          <w:p w14:paraId="7AC13FE4"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1158" w:type="dxa"/>
            <w:vMerge/>
            <w:tcBorders>
              <w:top w:val="single" w:sz="4" w:space="0" w:color="000000"/>
              <w:left w:val="single" w:sz="4" w:space="0" w:color="auto"/>
              <w:bottom w:val="single" w:sz="4" w:space="0" w:color="000000"/>
              <w:right w:val="single" w:sz="4" w:space="0" w:color="auto"/>
            </w:tcBorders>
            <w:vAlign w:val="center"/>
            <w:hideMark/>
          </w:tcPr>
          <w:p w14:paraId="62BD0D81"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r>
      <w:tr w:rsidR="00895EFC" w:rsidRPr="00753949" w14:paraId="0959119B" w14:textId="77777777" w:rsidTr="00753949">
        <w:trPr>
          <w:trHeight w:val="451"/>
        </w:trPr>
        <w:tc>
          <w:tcPr>
            <w:tcW w:w="1276" w:type="dxa"/>
            <w:vMerge/>
            <w:tcBorders>
              <w:top w:val="nil"/>
              <w:left w:val="single" w:sz="4" w:space="0" w:color="auto"/>
              <w:bottom w:val="single" w:sz="4" w:space="0" w:color="000000"/>
              <w:right w:val="single" w:sz="4" w:space="0" w:color="auto"/>
            </w:tcBorders>
            <w:vAlign w:val="center"/>
            <w:hideMark/>
          </w:tcPr>
          <w:p w14:paraId="0BAB93ED" w14:textId="77777777" w:rsidR="00895EFC" w:rsidRPr="00753949" w:rsidRDefault="00895EFC" w:rsidP="00054166">
            <w:pPr>
              <w:spacing w:after="0" w:line="240" w:lineRule="auto"/>
              <w:jc w:val="center"/>
              <w:rPr>
                <w:rFonts w:ascii="Century Gothic" w:eastAsia="Times New Roman" w:hAnsi="Century Gothic" w:cs="Times New Roman"/>
                <w:sz w:val="18"/>
                <w:szCs w:val="18"/>
                <w:lang w:eastAsia="en-US"/>
              </w:rPr>
            </w:pPr>
          </w:p>
        </w:tc>
        <w:tc>
          <w:tcPr>
            <w:tcW w:w="1985" w:type="dxa"/>
            <w:vMerge/>
            <w:tcBorders>
              <w:top w:val="single" w:sz="4" w:space="0" w:color="auto"/>
              <w:left w:val="single" w:sz="4" w:space="0" w:color="auto"/>
              <w:bottom w:val="single" w:sz="4" w:space="0" w:color="000000"/>
              <w:right w:val="single" w:sz="4" w:space="0" w:color="000000"/>
            </w:tcBorders>
            <w:vAlign w:val="center"/>
            <w:hideMark/>
          </w:tcPr>
          <w:p w14:paraId="50569056"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2890" w:type="dxa"/>
            <w:vMerge/>
            <w:tcBorders>
              <w:top w:val="single" w:sz="4" w:space="0" w:color="auto"/>
              <w:left w:val="single" w:sz="4" w:space="0" w:color="auto"/>
              <w:bottom w:val="single" w:sz="4" w:space="0" w:color="000000"/>
              <w:right w:val="single" w:sz="4" w:space="0" w:color="000000"/>
            </w:tcBorders>
            <w:vAlign w:val="center"/>
            <w:hideMark/>
          </w:tcPr>
          <w:p w14:paraId="23EC17A6"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2472" w:type="dxa"/>
            <w:vMerge/>
            <w:tcBorders>
              <w:top w:val="nil"/>
              <w:left w:val="single" w:sz="4" w:space="0" w:color="auto"/>
              <w:bottom w:val="single" w:sz="4" w:space="0" w:color="000000"/>
              <w:right w:val="single" w:sz="4" w:space="0" w:color="auto"/>
            </w:tcBorders>
            <w:vAlign w:val="center"/>
            <w:hideMark/>
          </w:tcPr>
          <w:p w14:paraId="3353FE11"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1158" w:type="dxa"/>
            <w:vMerge/>
            <w:tcBorders>
              <w:top w:val="single" w:sz="4" w:space="0" w:color="000000"/>
              <w:left w:val="single" w:sz="4" w:space="0" w:color="auto"/>
              <w:bottom w:val="single" w:sz="4" w:space="0" w:color="000000"/>
              <w:right w:val="single" w:sz="4" w:space="0" w:color="auto"/>
            </w:tcBorders>
            <w:vAlign w:val="center"/>
            <w:hideMark/>
          </w:tcPr>
          <w:p w14:paraId="3846A5F2"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r>
      <w:tr w:rsidR="00895EFC" w:rsidRPr="00753949" w14:paraId="2CDBCEF7" w14:textId="77777777" w:rsidTr="00753949">
        <w:trPr>
          <w:trHeight w:val="645"/>
        </w:trPr>
        <w:tc>
          <w:tcPr>
            <w:tcW w:w="1276" w:type="dxa"/>
            <w:vMerge/>
            <w:tcBorders>
              <w:top w:val="nil"/>
              <w:left w:val="single" w:sz="4" w:space="0" w:color="auto"/>
              <w:bottom w:val="single" w:sz="4" w:space="0" w:color="auto"/>
              <w:right w:val="single" w:sz="4" w:space="0" w:color="auto"/>
            </w:tcBorders>
            <w:vAlign w:val="center"/>
            <w:hideMark/>
          </w:tcPr>
          <w:p w14:paraId="39050EDF" w14:textId="77777777" w:rsidR="00895EFC" w:rsidRPr="00753949" w:rsidRDefault="00895EFC" w:rsidP="00054166">
            <w:pPr>
              <w:spacing w:after="0" w:line="240" w:lineRule="auto"/>
              <w:jc w:val="center"/>
              <w:rPr>
                <w:rFonts w:ascii="Century Gothic" w:eastAsia="Times New Roman" w:hAnsi="Century Gothic" w:cs="Times New Roman"/>
                <w:sz w:val="18"/>
                <w:szCs w:val="18"/>
                <w:lang w:eastAsia="en-US"/>
              </w:rPr>
            </w:pPr>
          </w:p>
        </w:tc>
        <w:tc>
          <w:tcPr>
            <w:tcW w:w="1985" w:type="dxa"/>
            <w:vMerge/>
            <w:tcBorders>
              <w:top w:val="single" w:sz="4" w:space="0" w:color="auto"/>
              <w:left w:val="single" w:sz="4" w:space="0" w:color="auto"/>
              <w:bottom w:val="single" w:sz="4" w:space="0" w:color="auto"/>
              <w:right w:val="single" w:sz="4" w:space="0" w:color="000000"/>
            </w:tcBorders>
            <w:vAlign w:val="center"/>
            <w:hideMark/>
          </w:tcPr>
          <w:p w14:paraId="12185742"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2890" w:type="dxa"/>
            <w:vMerge/>
            <w:tcBorders>
              <w:top w:val="single" w:sz="4" w:space="0" w:color="auto"/>
              <w:left w:val="single" w:sz="4" w:space="0" w:color="auto"/>
              <w:bottom w:val="single" w:sz="4" w:space="0" w:color="auto"/>
              <w:right w:val="single" w:sz="4" w:space="0" w:color="000000"/>
            </w:tcBorders>
            <w:vAlign w:val="center"/>
            <w:hideMark/>
          </w:tcPr>
          <w:p w14:paraId="4AD83513"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2472" w:type="dxa"/>
            <w:vMerge/>
            <w:tcBorders>
              <w:top w:val="nil"/>
              <w:left w:val="single" w:sz="4" w:space="0" w:color="auto"/>
              <w:bottom w:val="single" w:sz="4" w:space="0" w:color="auto"/>
              <w:right w:val="single" w:sz="4" w:space="0" w:color="auto"/>
            </w:tcBorders>
            <w:vAlign w:val="center"/>
            <w:hideMark/>
          </w:tcPr>
          <w:p w14:paraId="6378F949"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1158" w:type="dxa"/>
            <w:vMerge/>
            <w:tcBorders>
              <w:top w:val="single" w:sz="4" w:space="0" w:color="000000"/>
              <w:left w:val="single" w:sz="4" w:space="0" w:color="auto"/>
              <w:bottom w:val="single" w:sz="4" w:space="0" w:color="auto"/>
              <w:right w:val="single" w:sz="4" w:space="0" w:color="auto"/>
            </w:tcBorders>
            <w:vAlign w:val="center"/>
            <w:hideMark/>
          </w:tcPr>
          <w:p w14:paraId="33004820"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r>
      <w:tr w:rsidR="00753949" w:rsidRPr="00753949" w14:paraId="6EAC6931" w14:textId="77777777" w:rsidTr="00753949">
        <w:trPr>
          <w:trHeight w:val="221"/>
        </w:trPr>
        <w:tc>
          <w:tcPr>
            <w:tcW w:w="1276" w:type="dxa"/>
            <w:vMerge w:val="restart"/>
            <w:tcBorders>
              <w:top w:val="single" w:sz="4" w:space="0" w:color="auto"/>
              <w:left w:val="single" w:sz="4" w:space="0" w:color="auto"/>
              <w:bottom w:val="single" w:sz="4" w:space="0" w:color="000000"/>
              <w:right w:val="single" w:sz="4" w:space="0" w:color="auto"/>
            </w:tcBorders>
            <w:shd w:val="clear" w:color="auto" w:fill="F4B083" w:themeFill="accent2" w:themeFillTint="99"/>
            <w:vAlign w:val="center"/>
          </w:tcPr>
          <w:p w14:paraId="434C3118" w14:textId="43469A00" w:rsidR="00753949" w:rsidRPr="00753949" w:rsidRDefault="00753949" w:rsidP="00753949">
            <w:pPr>
              <w:spacing w:after="0" w:line="240" w:lineRule="auto"/>
              <w:jc w:val="center"/>
              <w:rPr>
                <w:rFonts w:ascii="Century Gothic" w:eastAsia="Times New Roman" w:hAnsi="Century Gothic" w:cs="Times New Roman"/>
                <w:sz w:val="18"/>
                <w:szCs w:val="18"/>
                <w:lang w:eastAsia="en-US"/>
              </w:rPr>
            </w:pPr>
            <w:r w:rsidRPr="00753949">
              <w:rPr>
                <w:rFonts w:ascii="Century Gothic" w:eastAsia="Times New Roman" w:hAnsi="Century Gothic" w:cs="Times New Roman"/>
                <w:b/>
                <w:sz w:val="18"/>
                <w:szCs w:val="18"/>
                <w:lang w:eastAsia="en-US"/>
              </w:rPr>
              <w:t>High Risk</w:t>
            </w:r>
          </w:p>
        </w:tc>
        <w:tc>
          <w:tcPr>
            <w:tcW w:w="1985" w:type="dxa"/>
            <w:vMerge w:val="restart"/>
            <w:tcBorders>
              <w:top w:val="single" w:sz="4" w:space="0" w:color="auto"/>
              <w:left w:val="single" w:sz="4" w:space="0" w:color="auto"/>
              <w:bottom w:val="single" w:sz="4" w:space="0" w:color="000000"/>
              <w:right w:val="single" w:sz="4" w:space="0" w:color="000000"/>
            </w:tcBorders>
            <w:shd w:val="clear" w:color="auto" w:fill="F4B083" w:themeFill="accent2" w:themeFillTint="99"/>
            <w:vAlign w:val="center"/>
          </w:tcPr>
          <w:p w14:paraId="5D042CD3" w14:textId="3A1B00A0" w:rsidR="00753949" w:rsidRPr="00753949" w:rsidRDefault="00753949" w:rsidP="00753949">
            <w:pPr>
              <w:spacing w:after="0" w:line="240" w:lineRule="auto"/>
              <w:rPr>
                <w:rFonts w:ascii="Century Gothic" w:eastAsia="Times New Roman" w:hAnsi="Century Gothic" w:cs="Times New Roman"/>
                <w:sz w:val="18"/>
                <w:szCs w:val="18"/>
                <w:lang w:eastAsia="en-US"/>
              </w:rPr>
            </w:pPr>
            <w:r w:rsidRPr="00753949">
              <w:rPr>
                <w:rFonts w:ascii="Century Gothic" w:eastAsia="Times New Roman" w:hAnsi="Century Gothic" w:cs="Times New Roman"/>
                <w:sz w:val="18"/>
                <w:szCs w:val="18"/>
                <w:lang w:eastAsia="en-US"/>
              </w:rPr>
              <w:t>Large rises and falls in value would be expected. Over time, the expectation would for large growth, but with chances of significant losses.</w:t>
            </w:r>
          </w:p>
        </w:tc>
        <w:tc>
          <w:tcPr>
            <w:tcW w:w="2890" w:type="dxa"/>
            <w:vMerge w:val="restart"/>
            <w:tcBorders>
              <w:top w:val="single" w:sz="4" w:space="0" w:color="auto"/>
              <w:left w:val="single" w:sz="4" w:space="0" w:color="auto"/>
              <w:bottom w:val="single" w:sz="4" w:space="0" w:color="000000"/>
              <w:right w:val="single" w:sz="4" w:space="0" w:color="000000"/>
            </w:tcBorders>
            <w:shd w:val="clear" w:color="auto" w:fill="F4B083" w:themeFill="accent2" w:themeFillTint="99"/>
            <w:vAlign w:val="center"/>
          </w:tcPr>
          <w:p w14:paraId="23485F2F" w14:textId="77777777" w:rsidR="00753949" w:rsidRDefault="00753949" w:rsidP="00753949">
            <w:pPr>
              <w:spacing w:after="0" w:line="240" w:lineRule="auto"/>
              <w:rPr>
                <w:rFonts w:ascii="Century Gothic" w:eastAsia="Times New Roman" w:hAnsi="Century Gothic" w:cs="Times New Roman"/>
                <w:sz w:val="18"/>
                <w:szCs w:val="18"/>
                <w:lang w:eastAsia="en-US"/>
              </w:rPr>
            </w:pPr>
          </w:p>
          <w:p w14:paraId="6623859A" w14:textId="77777777" w:rsidR="00753949" w:rsidRDefault="00753949" w:rsidP="00753949">
            <w:pPr>
              <w:spacing w:after="0" w:line="240" w:lineRule="auto"/>
              <w:rPr>
                <w:rFonts w:ascii="Century Gothic" w:eastAsia="Times New Roman" w:hAnsi="Century Gothic" w:cs="Times New Roman"/>
                <w:sz w:val="18"/>
                <w:szCs w:val="18"/>
                <w:lang w:eastAsia="en-US"/>
              </w:rPr>
            </w:pPr>
            <w:r w:rsidRPr="00753949">
              <w:rPr>
                <w:rFonts w:ascii="Century Gothic" w:eastAsia="Times New Roman" w:hAnsi="Century Gothic" w:cs="Times New Roman"/>
                <w:sz w:val="18"/>
                <w:szCs w:val="18"/>
                <w:lang w:eastAsia="en-US"/>
              </w:rPr>
              <w:t>Investments may not always be immediately accessible. Losses may take some time to be recovered, and in some circumstances initial values may not be recovered. Over longer time periods, large gains would be expected but not guaranteed. Investments would be particularly susceptible to catastrophes such as the 1987 and 2007 crashes.</w:t>
            </w:r>
          </w:p>
          <w:p w14:paraId="043882F5" w14:textId="2D835B0A" w:rsidR="00753949" w:rsidRPr="00753949" w:rsidRDefault="00753949" w:rsidP="00753949">
            <w:pPr>
              <w:spacing w:after="0" w:line="240" w:lineRule="auto"/>
              <w:rPr>
                <w:rFonts w:ascii="Century Gothic" w:eastAsia="Times New Roman" w:hAnsi="Century Gothic" w:cs="Times New Roman"/>
                <w:sz w:val="18"/>
                <w:szCs w:val="18"/>
                <w:lang w:eastAsia="en-US"/>
              </w:rPr>
            </w:pPr>
          </w:p>
        </w:tc>
        <w:tc>
          <w:tcPr>
            <w:tcW w:w="2472" w:type="dxa"/>
            <w:vMerge w:val="restart"/>
            <w:tcBorders>
              <w:top w:val="single" w:sz="4" w:space="0" w:color="auto"/>
              <w:left w:val="single" w:sz="4" w:space="0" w:color="auto"/>
              <w:bottom w:val="single" w:sz="4" w:space="0" w:color="000000"/>
              <w:right w:val="single" w:sz="4" w:space="0" w:color="auto"/>
            </w:tcBorders>
            <w:shd w:val="clear" w:color="auto" w:fill="F4B083" w:themeFill="accent2" w:themeFillTint="99"/>
            <w:vAlign w:val="center"/>
          </w:tcPr>
          <w:p w14:paraId="07049E7D" w14:textId="7C4F9842" w:rsidR="00753949" w:rsidRPr="00753949" w:rsidRDefault="00753949" w:rsidP="00753949">
            <w:pPr>
              <w:spacing w:after="0" w:line="240" w:lineRule="auto"/>
              <w:rPr>
                <w:rFonts w:ascii="Century Gothic" w:eastAsia="Times New Roman" w:hAnsi="Century Gothic" w:cs="Times New Roman"/>
                <w:sz w:val="18"/>
                <w:szCs w:val="18"/>
                <w:lang w:eastAsia="en-US"/>
              </w:rPr>
            </w:pPr>
            <w:r w:rsidRPr="00753949">
              <w:rPr>
                <w:rFonts w:ascii="Century Gothic" w:eastAsia="Times New Roman" w:hAnsi="Century Gothic" w:cs="Times New Roman"/>
                <w:sz w:val="18"/>
                <w:szCs w:val="18"/>
                <w:lang w:eastAsia="en-US"/>
              </w:rPr>
              <w:t xml:space="preserve">People who need to make large profits mainly over the relatively short term (although 5 years +). Alternatively, people with significant growth requirements but with very </w:t>
            </w:r>
            <w:proofErr w:type="gramStart"/>
            <w:r w:rsidRPr="00753949">
              <w:rPr>
                <w:rFonts w:ascii="Century Gothic" w:eastAsia="Times New Roman" w:hAnsi="Century Gothic" w:cs="Times New Roman"/>
                <w:sz w:val="18"/>
                <w:szCs w:val="18"/>
                <w:lang w:eastAsia="en-US"/>
              </w:rPr>
              <w:t>long time</w:t>
            </w:r>
            <w:proofErr w:type="gramEnd"/>
            <w:r w:rsidRPr="00753949">
              <w:rPr>
                <w:rFonts w:ascii="Century Gothic" w:eastAsia="Times New Roman" w:hAnsi="Century Gothic" w:cs="Times New Roman"/>
                <w:sz w:val="18"/>
                <w:szCs w:val="18"/>
                <w:lang w:eastAsia="en-US"/>
              </w:rPr>
              <w:t xml:space="preserve"> horizons, or people who don’t need to take risk but just want to.</w:t>
            </w:r>
          </w:p>
        </w:tc>
        <w:tc>
          <w:tcPr>
            <w:tcW w:w="1158" w:type="dxa"/>
            <w:vMerge w:val="restart"/>
            <w:tcBorders>
              <w:top w:val="single" w:sz="4" w:space="0" w:color="auto"/>
              <w:left w:val="single" w:sz="4" w:space="0" w:color="auto"/>
              <w:bottom w:val="single" w:sz="4" w:space="0" w:color="000000"/>
              <w:right w:val="single" w:sz="4" w:space="0" w:color="auto"/>
            </w:tcBorders>
            <w:shd w:val="clear" w:color="auto" w:fill="F4B083" w:themeFill="accent2" w:themeFillTint="99"/>
            <w:vAlign w:val="center"/>
          </w:tcPr>
          <w:p w14:paraId="5740DEB3" w14:textId="77777777" w:rsidR="00753949" w:rsidRPr="00753949" w:rsidRDefault="00753949" w:rsidP="00753949">
            <w:pPr>
              <w:spacing w:after="0" w:line="240" w:lineRule="auto"/>
              <w:rPr>
                <w:rFonts w:ascii="Century Gothic" w:eastAsia="Times New Roman" w:hAnsi="Century Gothic" w:cs="Times New Roman"/>
                <w:sz w:val="18"/>
                <w:szCs w:val="18"/>
                <w:lang w:eastAsia="en-US"/>
              </w:rPr>
            </w:pPr>
          </w:p>
        </w:tc>
      </w:tr>
      <w:tr w:rsidR="00895EFC" w:rsidRPr="00753949" w14:paraId="54ACCBF4" w14:textId="77777777" w:rsidTr="00753949">
        <w:trPr>
          <w:trHeight w:val="451"/>
        </w:trPr>
        <w:tc>
          <w:tcPr>
            <w:tcW w:w="1276" w:type="dxa"/>
            <w:vMerge/>
            <w:tcBorders>
              <w:top w:val="nil"/>
              <w:left w:val="single" w:sz="4" w:space="0" w:color="auto"/>
              <w:bottom w:val="single" w:sz="4" w:space="0" w:color="auto"/>
              <w:right w:val="single" w:sz="4" w:space="0" w:color="auto"/>
            </w:tcBorders>
            <w:shd w:val="clear" w:color="auto" w:fill="F4B083" w:themeFill="accent2" w:themeFillTint="99"/>
            <w:vAlign w:val="center"/>
            <w:hideMark/>
          </w:tcPr>
          <w:p w14:paraId="079F9D52" w14:textId="77777777" w:rsidR="00895EFC" w:rsidRPr="00753949" w:rsidRDefault="00895EFC" w:rsidP="00054166">
            <w:pPr>
              <w:spacing w:after="0" w:line="240" w:lineRule="auto"/>
              <w:jc w:val="center"/>
              <w:rPr>
                <w:rFonts w:ascii="Century Gothic" w:eastAsia="Times New Roman" w:hAnsi="Century Gothic" w:cs="Times New Roman"/>
                <w:sz w:val="18"/>
                <w:szCs w:val="18"/>
                <w:lang w:eastAsia="en-US"/>
              </w:rPr>
            </w:pPr>
          </w:p>
        </w:tc>
        <w:tc>
          <w:tcPr>
            <w:tcW w:w="1985" w:type="dxa"/>
            <w:vMerge/>
            <w:tcBorders>
              <w:top w:val="single" w:sz="4" w:space="0" w:color="auto"/>
              <w:left w:val="single" w:sz="4" w:space="0" w:color="auto"/>
              <w:bottom w:val="single" w:sz="4" w:space="0" w:color="auto"/>
              <w:right w:val="single" w:sz="4" w:space="0" w:color="000000"/>
            </w:tcBorders>
            <w:shd w:val="clear" w:color="auto" w:fill="F4B083" w:themeFill="accent2" w:themeFillTint="99"/>
            <w:vAlign w:val="center"/>
            <w:hideMark/>
          </w:tcPr>
          <w:p w14:paraId="11630020"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2890" w:type="dxa"/>
            <w:vMerge/>
            <w:tcBorders>
              <w:top w:val="single" w:sz="4" w:space="0" w:color="auto"/>
              <w:left w:val="single" w:sz="4" w:space="0" w:color="auto"/>
              <w:bottom w:val="single" w:sz="4" w:space="0" w:color="auto"/>
              <w:right w:val="single" w:sz="4" w:space="0" w:color="000000"/>
            </w:tcBorders>
            <w:shd w:val="clear" w:color="auto" w:fill="F4B083" w:themeFill="accent2" w:themeFillTint="99"/>
            <w:vAlign w:val="center"/>
            <w:hideMark/>
          </w:tcPr>
          <w:p w14:paraId="1E087AFB"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2472" w:type="dxa"/>
            <w:vMerge/>
            <w:tcBorders>
              <w:top w:val="nil"/>
              <w:left w:val="single" w:sz="4" w:space="0" w:color="auto"/>
              <w:bottom w:val="single" w:sz="4" w:space="0" w:color="auto"/>
              <w:right w:val="single" w:sz="4" w:space="0" w:color="auto"/>
            </w:tcBorders>
            <w:shd w:val="clear" w:color="auto" w:fill="F4B083" w:themeFill="accent2" w:themeFillTint="99"/>
            <w:vAlign w:val="center"/>
            <w:hideMark/>
          </w:tcPr>
          <w:p w14:paraId="4662C13B"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c>
          <w:tcPr>
            <w:tcW w:w="1158" w:type="dxa"/>
            <w:vMerge/>
            <w:tcBorders>
              <w:top w:val="single" w:sz="4" w:space="0" w:color="000000"/>
              <w:left w:val="single" w:sz="4" w:space="0" w:color="auto"/>
              <w:bottom w:val="single" w:sz="4" w:space="0" w:color="auto"/>
              <w:right w:val="single" w:sz="4" w:space="0" w:color="auto"/>
            </w:tcBorders>
            <w:shd w:val="clear" w:color="auto" w:fill="F4B083" w:themeFill="accent2" w:themeFillTint="99"/>
            <w:vAlign w:val="center"/>
            <w:hideMark/>
          </w:tcPr>
          <w:p w14:paraId="559BCA4D" w14:textId="77777777" w:rsidR="00895EFC" w:rsidRPr="00753949" w:rsidRDefault="00895EFC" w:rsidP="00054166">
            <w:pPr>
              <w:spacing w:after="0" w:line="240" w:lineRule="auto"/>
              <w:rPr>
                <w:rFonts w:ascii="Century Gothic" w:eastAsia="Times New Roman" w:hAnsi="Century Gothic" w:cs="Times New Roman"/>
                <w:sz w:val="18"/>
                <w:szCs w:val="18"/>
                <w:lang w:eastAsia="en-US"/>
              </w:rPr>
            </w:pPr>
          </w:p>
        </w:tc>
      </w:tr>
      <w:tr w:rsidR="00753949" w:rsidRPr="00753949" w14:paraId="340853DF" w14:textId="77777777" w:rsidTr="00753949">
        <w:trPr>
          <w:trHeight w:val="345"/>
        </w:trPr>
        <w:tc>
          <w:tcPr>
            <w:tcW w:w="1276" w:type="dxa"/>
            <w:tcBorders>
              <w:top w:val="single" w:sz="4" w:space="0" w:color="auto"/>
              <w:left w:val="single" w:sz="4" w:space="0" w:color="auto"/>
              <w:bottom w:val="single" w:sz="4" w:space="0" w:color="000000"/>
              <w:right w:val="single" w:sz="4" w:space="0" w:color="auto"/>
            </w:tcBorders>
            <w:shd w:val="clear" w:color="auto" w:fill="F9756B"/>
            <w:vAlign w:val="center"/>
          </w:tcPr>
          <w:p w14:paraId="160601BD" w14:textId="5B5F9AD3" w:rsidR="00753949" w:rsidRPr="00753949" w:rsidRDefault="00753949" w:rsidP="00753949">
            <w:pPr>
              <w:spacing w:after="0" w:line="240" w:lineRule="auto"/>
              <w:jc w:val="center"/>
              <w:rPr>
                <w:rFonts w:ascii="Century Gothic" w:eastAsia="Times New Roman" w:hAnsi="Century Gothic" w:cs="Times New Roman"/>
                <w:sz w:val="18"/>
                <w:szCs w:val="18"/>
                <w:lang w:eastAsia="en-US"/>
              </w:rPr>
            </w:pPr>
            <w:r w:rsidRPr="00753949">
              <w:rPr>
                <w:rFonts w:ascii="Century Gothic" w:eastAsia="Times New Roman" w:hAnsi="Century Gothic" w:cs="Times New Roman"/>
                <w:b/>
                <w:sz w:val="18"/>
                <w:szCs w:val="18"/>
                <w:lang w:eastAsia="en-US"/>
              </w:rPr>
              <w:t>Gamblers Risk</w:t>
            </w:r>
          </w:p>
        </w:tc>
        <w:tc>
          <w:tcPr>
            <w:tcW w:w="1985" w:type="dxa"/>
            <w:tcBorders>
              <w:top w:val="single" w:sz="4" w:space="0" w:color="auto"/>
              <w:left w:val="single" w:sz="4" w:space="0" w:color="auto"/>
              <w:bottom w:val="single" w:sz="4" w:space="0" w:color="000000"/>
              <w:right w:val="single" w:sz="4" w:space="0" w:color="000000"/>
            </w:tcBorders>
            <w:shd w:val="clear" w:color="auto" w:fill="F9756B"/>
            <w:vAlign w:val="center"/>
          </w:tcPr>
          <w:p w14:paraId="7F7D671B" w14:textId="45A8F9DE" w:rsidR="00753949" w:rsidRPr="00753949" w:rsidRDefault="00753949" w:rsidP="00054166">
            <w:pPr>
              <w:spacing w:after="0" w:line="240" w:lineRule="auto"/>
              <w:rPr>
                <w:rFonts w:ascii="Century Gothic" w:eastAsia="Times New Roman" w:hAnsi="Century Gothic" w:cs="Times New Roman"/>
                <w:sz w:val="18"/>
                <w:szCs w:val="18"/>
                <w:lang w:eastAsia="en-US"/>
              </w:rPr>
            </w:pPr>
            <w:r w:rsidRPr="00753949">
              <w:rPr>
                <w:rFonts w:ascii="Century Gothic" w:eastAsia="Times New Roman" w:hAnsi="Century Gothic" w:cs="Times New Roman"/>
                <w:sz w:val="18"/>
                <w:szCs w:val="18"/>
                <w:lang w:eastAsia="en-US"/>
              </w:rPr>
              <w:t xml:space="preserve">Expectation would be for very large growth but with </w:t>
            </w:r>
            <w:r w:rsidRPr="00753949">
              <w:rPr>
                <w:rFonts w:ascii="Century Gothic" w:eastAsia="Times New Roman" w:hAnsi="Century Gothic" w:cs="Times New Roman"/>
                <w:sz w:val="18"/>
                <w:szCs w:val="18"/>
                <w:lang w:eastAsia="en-US"/>
              </w:rPr>
              <w:lastRenderedPageBreak/>
              <w:t>equally large losses also possible.</w:t>
            </w:r>
          </w:p>
        </w:tc>
        <w:tc>
          <w:tcPr>
            <w:tcW w:w="2890" w:type="dxa"/>
            <w:tcBorders>
              <w:top w:val="single" w:sz="4" w:space="0" w:color="auto"/>
              <w:left w:val="single" w:sz="4" w:space="0" w:color="auto"/>
              <w:bottom w:val="single" w:sz="4" w:space="0" w:color="000000"/>
              <w:right w:val="single" w:sz="4" w:space="0" w:color="000000"/>
            </w:tcBorders>
            <w:shd w:val="clear" w:color="auto" w:fill="F9756B"/>
            <w:vAlign w:val="center"/>
          </w:tcPr>
          <w:p w14:paraId="776E1DA8" w14:textId="77777777" w:rsidR="00753949" w:rsidRDefault="00753949" w:rsidP="00753949">
            <w:pPr>
              <w:spacing w:after="0" w:line="240" w:lineRule="auto"/>
              <w:rPr>
                <w:rFonts w:ascii="Century Gothic" w:eastAsia="Times New Roman" w:hAnsi="Century Gothic" w:cs="Times New Roman"/>
                <w:sz w:val="18"/>
                <w:szCs w:val="18"/>
                <w:lang w:eastAsia="en-US"/>
              </w:rPr>
            </w:pPr>
          </w:p>
          <w:p w14:paraId="0B7E6D7E" w14:textId="7BC95FD3" w:rsidR="00753949" w:rsidRPr="00753949" w:rsidRDefault="00753949" w:rsidP="00753949">
            <w:pPr>
              <w:spacing w:after="0" w:line="240" w:lineRule="auto"/>
              <w:rPr>
                <w:rFonts w:ascii="Century Gothic" w:eastAsia="Times New Roman" w:hAnsi="Century Gothic" w:cs="Times New Roman"/>
                <w:sz w:val="18"/>
                <w:szCs w:val="18"/>
                <w:lang w:eastAsia="en-US"/>
              </w:rPr>
            </w:pPr>
            <w:r w:rsidRPr="00753949">
              <w:rPr>
                <w:rFonts w:ascii="Century Gothic" w:eastAsia="Times New Roman" w:hAnsi="Century Gothic" w:cs="Times New Roman"/>
                <w:sz w:val="18"/>
                <w:szCs w:val="18"/>
                <w:lang w:eastAsia="en-US"/>
              </w:rPr>
              <w:t xml:space="preserve">Investments will often not be immediately accessible. Gain can be very large in relatively </w:t>
            </w:r>
            <w:r w:rsidRPr="00753949">
              <w:rPr>
                <w:rFonts w:ascii="Century Gothic" w:eastAsia="Times New Roman" w:hAnsi="Century Gothic" w:cs="Times New Roman"/>
                <w:sz w:val="18"/>
                <w:szCs w:val="18"/>
                <w:lang w:eastAsia="en-US"/>
              </w:rPr>
              <w:lastRenderedPageBreak/>
              <w:t>short time spans. Total loss of capital is a realistic outcome too.</w:t>
            </w:r>
          </w:p>
          <w:p w14:paraId="08E96089" w14:textId="77777777" w:rsidR="00753949" w:rsidRPr="00753949" w:rsidRDefault="00753949" w:rsidP="00054166">
            <w:pPr>
              <w:spacing w:after="0" w:line="240" w:lineRule="auto"/>
              <w:rPr>
                <w:rFonts w:ascii="Century Gothic" w:eastAsia="Times New Roman" w:hAnsi="Century Gothic" w:cs="Times New Roman"/>
                <w:sz w:val="18"/>
                <w:szCs w:val="18"/>
                <w:lang w:eastAsia="en-US"/>
              </w:rPr>
            </w:pPr>
          </w:p>
        </w:tc>
        <w:tc>
          <w:tcPr>
            <w:tcW w:w="2472" w:type="dxa"/>
            <w:tcBorders>
              <w:top w:val="single" w:sz="4" w:space="0" w:color="auto"/>
              <w:left w:val="single" w:sz="4" w:space="0" w:color="auto"/>
              <w:bottom w:val="single" w:sz="4" w:space="0" w:color="000000"/>
              <w:right w:val="single" w:sz="4" w:space="0" w:color="auto"/>
            </w:tcBorders>
            <w:shd w:val="clear" w:color="auto" w:fill="F9756B"/>
            <w:vAlign w:val="center"/>
          </w:tcPr>
          <w:p w14:paraId="7C2926A2" w14:textId="45CFF46B" w:rsidR="00753949" w:rsidRPr="00753949" w:rsidRDefault="00753949" w:rsidP="00054166">
            <w:pPr>
              <w:spacing w:after="0" w:line="240" w:lineRule="auto"/>
              <w:rPr>
                <w:rFonts w:ascii="Century Gothic" w:eastAsia="Times New Roman" w:hAnsi="Century Gothic" w:cs="Times New Roman"/>
                <w:sz w:val="18"/>
                <w:szCs w:val="18"/>
                <w:lang w:eastAsia="en-US"/>
              </w:rPr>
            </w:pPr>
            <w:r w:rsidRPr="00753949">
              <w:rPr>
                <w:rFonts w:ascii="Century Gothic" w:eastAsia="Times New Roman" w:hAnsi="Century Gothic" w:cs="Times New Roman"/>
                <w:sz w:val="18"/>
                <w:szCs w:val="18"/>
                <w:lang w:eastAsia="en-US"/>
              </w:rPr>
              <w:lastRenderedPageBreak/>
              <w:t xml:space="preserve">People with excess capital which if lost would not impact on standard of living, and who enjoy </w:t>
            </w:r>
            <w:r w:rsidRPr="00753949">
              <w:rPr>
                <w:rFonts w:ascii="Century Gothic" w:eastAsia="Times New Roman" w:hAnsi="Century Gothic" w:cs="Times New Roman"/>
                <w:sz w:val="18"/>
                <w:szCs w:val="18"/>
                <w:lang w:eastAsia="en-US"/>
              </w:rPr>
              <w:lastRenderedPageBreak/>
              <w:t>the emotional effect of gambling.</w:t>
            </w:r>
          </w:p>
        </w:tc>
        <w:tc>
          <w:tcPr>
            <w:tcW w:w="1158" w:type="dxa"/>
            <w:tcBorders>
              <w:top w:val="single" w:sz="4" w:space="0" w:color="auto"/>
              <w:left w:val="single" w:sz="4" w:space="0" w:color="auto"/>
              <w:bottom w:val="single" w:sz="4" w:space="0" w:color="000000"/>
              <w:right w:val="single" w:sz="4" w:space="0" w:color="auto"/>
            </w:tcBorders>
            <w:shd w:val="clear" w:color="auto" w:fill="F9756B"/>
            <w:vAlign w:val="center"/>
          </w:tcPr>
          <w:p w14:paraId="51BBFDE6" w14:textId="77777777" w:rsidR="00753949" w:rsidRPr="00753949" w:rsidRDefault="00753949" w:rsidP="00054166">
            <w:pPr>
              <w:spacing w:after="0" w:line="240" w:lineRule="auto"/>
              <w:rPr>
                <w:rFonts w:ascii="Century Gothic" w:eastAsia="Times New Roman" w:hAnsi="Century Gothic" w:cs="Times New Roman"/>
                <w:sz w:val="18"/>
                <w:szCs w:val="18"/>
                <w:lang w:eastAsia="en-US"/>
              </w:rPr>
            </w:pPr>
          </w:p>
        </w:tc>
      </w:tr>
    </w:tbl>
    <w:p w14:paraId="041943A2" w14:textId="77777777" w:rsidR="00CF66FC" w:rsidRDefault="00CF66FC" w:rsidP="00CF66FC">
      <w:pPr>
        <w:tabs>
          <w:tab w:val="center" w:pos="4807"/>
        </w:tabs>
        <w:spacing w:after="0" w:line="240" w:lineRule="auto"/>
        <w:rPr>
          <w:rFonts w:ascii="Verdana" w:eastAsia="Times New Roman" w:hAnsi="Verdana" w:cs="Times New Roman"/>
          <w:b/>
          <w:sz w:val="18"/>
          <w:szCs w:val="18"/>
          <w:lang w:eastAsia="en-US"/>
        </w:rPr>
      </w:pPr>
      <w:r>
        <w:rPr>
          <w:rFonts w:ascii="Verdana" w:eastAsia="Times New Roman" w:hAnsi="Verdana" w:cs="Times New Roman"/>
          <w:b/>
          <w:sz w:val="18"/>
          <w:szCs w:val="18"/>
          <w:lang w:eastAsia="en-US"/>
        </w:rPr>
        <w:tab/>
      </w:r>
    </w:p>
    <w:p w14:paraId="58445838" w14:textId="77777777" w:rsidR="00895EFC" w:rsidRPr="00CF66FC" w:rsidRDefault="00895EFC" w:rsidP="00CF66FC">
      <w:pPr>
        <w:rPr>
          <w:rFonts w:ascii="Verdana" w:eastAsia="Times New Roman" w:hAnsi="Verdana" w:cs="Times New Roman"/>
          <w:sz w:val="18"/>
          <w:szCs w:val="18"/>
          <w:lang w:eastAsia="en-US"/>
        </w:rPr>
        <w:sectPr w:rsidR="00895EFC" w:rsidRPr="00CF66FC" w:rsidSect="00A32DAA">
          <w:footerReference w:type="default" r:id="rId7"/>
          <w:headerReference w:type="first" r:id="rId8"/>
          <w:footerReference w:type="first" r:id="rId9"/>
          <w:pgSz w:w="11906" w:h="16838"/>
          <w:pgMar w:top="567" w:right="1440" w:bottom="680" w:left="851" w:header="709" w:footer="709" w:gutter="0"/>
          <w:cols w:space="708"/>
          <w:titlePg/>
          <w:docGrid w:linePitch="360"/>
        </w:sectPr>
      </w:pPr>
    </w:p>
    <w:p w14:paraId="74210DE8" w14:textId="77777777" w:rsidR="00895EFC" w:rsidRDefault="00895EFC" w:rsidP="00895EFC">
      <w:pPr>
        <w:spacing w:after="0" w:line="240" w:lineRule="auto"/>
        <w:rPr>
          <w:rFonts w:ascii="Verdana" w:eastAsia="Times New Roman" w:hAnsi="Verdana" w:cs="Times New Roman"/>
          <w:sz w:val="20"/>
          <w:szCs w:val="20"/>
          <w:lang w:eastAsia="en-US"/>
        </w:rPr>
        <w:sectPr w:rsidR="00895EFC" w:rsidSect="00A32DAA">
          <w:type w:val="continuous"/>
          <w:pgSz w:w="11906" w:h="16838"/>
          <w:pgMar w:top="567" w:right="1440" w:bottom="680" w:left="851" w:header="708" w:footer="708" w:gutter="0"/>
          <w:cols w:space="720"/>
          <w:docGrid w:linePitch="360"/>
        </w:sectPr>
      </w:pPr>
    </w:p>
    <w:tbl>
      <w:tblPr>
        <w:tblW w:w="48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290"/>
        <w:gridCol w:w="1361"/>
        <w:gridCol w:w="3325"/>
      </w:tblGrid>
      <w:tr w:rsidR="00895EFC" w:rsidRPr="00CF66FC" w14:paraId="1952F523" w14:textId="77777777" w:rsidTr="00753949">
        <w:tc>
          <w:tcPr>
            <w:tcW w:w="920" w:type="pct"/>
            <w:tcBorders>
              <w:top w:val="single" w:sz="4" w:space="0" w:color="auto"/>
              <w:left w:val="single" w:sz="4" w:space="0" w:color="auto"/>
              <w:bottom w:val="single" w:sz="4" w:space="0" w:color="auto"/>
              <w:right w:val="single" w:sz="4" w:space="0" w:color="auto"/>
            </w:tcBorders>
            <w:shd w:val="clear" w:color="auto" w:fill="009B91"/>
          </w:tcPr>
          <w:p w14:paraId="331F7D7C" w14:textId="77777777" w:rsidR="00895EFC" w:rsidRPr="00753949" w:rsidRDefault="00895EFC" w:rsidP="00054166">
            <w:pPr>
              <w:spacing w:before="40" w:after="40"/>
              <w:rPr>
                <w:rFonts w:cs="Tahoma"/>
                <w:b/>
                <w:color w:val="FFFFFF" w:themeColor="background1"/>
                <w:sz w:val="24"/>
                <w:szCs w:val="24"/>
              </w:rPr>
            </w:pPr>
            <w:r w:rsidRPr="00753949">
              <w:rPr>
                <w:rFonts w:cs="Tahoma"/>
                <w:b/>
                <w:color w:val="FFFFFF" w:themeColor="background1"/>
                <w:sz w:val="24"/>
                <w:szCs w:val="24"/>
              </w:rPr>
              <w:t>Client Name:</w:t>
            </w:r>
          </w:p>
        </w:tc>
        <w:tc>
          <w:tcPr>
            <w:tcW w:w="1683" w:type="pct"/>
            <w:tcBorders>
              <w:top w:val="single" w:sz="4" w:space="0" w:color="auto"/>
              <w:left w:val="single" w:sz="4" w:space="0" w:color="auto"/>
              <w:bottom w:val="single" w:sz="4" w:space="0" w:color="auto"/>
              <w:right w:val="single" w:sz="4" w:space="0" w:color="auto"/>
            </w:tcBorders>
            <w:shd w:val="clear" w:color="auto" w:fill="FFFFFF" w:themeFill="background1"/>
          </w:tcPr>
          <w:p w14:paraId="5A1DCFCB" w14:textId="77777777" w:rsidR="00895EFC" w:rsidRPr="00CF66FC" w:rsidRDefault="00895EFC" w:rsidP="00054166">
            <w:pPr>
              <w:spacing w:before="40" w:after="40"/>
              <w:rPr>
                <w:rFonts w:cs="Tahoma"/>
                <w:b/>
                <w:color w:val="244061"/>
                <w:sz w:val="24"/>
                <w:szCs w:val="24"/>
              </w:rPr>
            </w:pPr>
          </w:p>
        </w:tc>
        <w:tc>
          <w:tcPr>
            <w:tcW w:w="696" w:type="pct"/>
            <w:tcBorders>
              <w:top w:val="single" w:sz="4" w:space="0" w:color="auto"/>
              <w:left w:val="single" w:sz="4" w:space="0" w:color="auto"/>
              <w:bottom w:val="single" w:sz="4" w:space="0" w:color="auto"/>
              <w:right w:val="single" w:sz="4" w:space="0" w:color="auto"/>
            </w:tcBorders>
            <w:shd w:val="clear" w:color="auto" w:fill="009B91"/>
          </w:tcPr>
          <w:p w14:paraId="44B97F1B" w14:textId="77777777" w:rsidR="00895EFC" w:rsidRPr="00CF66FC" w:rsidRDefault="00895EFC" w:rsidP="00054166">
            <w:pPr>
              <w:spacing w:before="40" w:after="40"/>
              <w:rPr>
                <w:rFonts w:cs="Tahoma"/>
                <w:b/>
                <w:color w:val="244061"/>
                <w:sz w:val="24"/>
                <w:szCs w:val="24"/>
              </w:rPr>
            </w:pPr>
            <w:r w:rsidRPr="00753949">
              <w:rPr>
                <w:rFonts w:cs="Tahoma"/>
                <w:b/>
                <w:color w:val="FFFFFF" w:themeColor="background1"/>
                <w:sz w:val="24"/>
                <w:szCs w:val="24"/>
              </w:rPr>
              <w:t>Signature</w:t>
            </w:r>
            <w:r w:rsidRPr="00CF66FC">
              <w:rPr>
                <w:rFonts w:cs="Tahoma"/>
                <w:b/>
                <w:color w:val="244061"/>
                <w:sz w:val="24"/>
                <w:szCs w:val="24"/>
              </w:rPr>
              <w:t>:</w:t>
            </w:r>
          </w:p>
        </w:tc>
        <w:tc>
          <w:tcPr>
            <w:tcW w:w="1701" w:type="pct"/>
            <w:tcBorders>
              <w:top w:val="single" w:sz="4" w:space="0" w:color="auto"/>
              <w:left w:val="single" w:sz="4" w:space="0" w:color="auto"/>
              <w:bottom w:val="single" w:sz="4" w:space="0" w:color="auto"/>
              <w:right w:val="single" w:sz="4" w:space="0" w:color="auto"/>
            </w:tcBorders>
            <w:shd w:val="clear" w:color="auto" w:fill="FFFFFF" w:themeFill="background1"/>
          </w:tcPr>
          <w:p w14:paraId="1B4DF8EA" w14:textId="77777777" w:rsidR="00895EFC" w:rsidRPr="00CF66FC" w:rsidRDefault="00895EFC" w:rsidP="00054166">
            <w:pPr>
              <w:spacing w:before="40" w:after="40"/>
              <w:rPr>
                <w:rFonts w:cs="Tahoma"/>
                <w:b/>
                <w:color w:val="244061"/>
                <w:sz w:val="24"/>
                <w:szCs w:val="24"/>
              </w:rPr>
            </w:pPr>
          </w:p>
        </w:tc>
      </w:tr>
      <w:tr w:rsidR="00CF66FC" w:rsidRPr="00402F22" w14:paraId="58537CBB" w14:textId="77777777" w:rsidTr="00753949">
        <w:tc>
          <w:tcPr>
            <w:tcW w:w="920" w:type="pct"/>
            <w:tcBorders>
              <w:top w:val="single" w:sz="4" w:space="0" w:color="auto"/>
              <w:left w:val="single" w:sz="4" w:space="0" w:color="auto"/>
              <w:bottom w:val="single" w:sz="4" w:space="0" w:color="auto"/>
              <w:right w:val="single" w:sz="4" w:space="0" w:color="auto"/>
            </w:tcBorders>
            <w:shd w:val="clear" w:color="auto" w:fill="009B91"/>
          </w:tcPr>
          <w:p w14:paraId="1E93082C" w14:textId="77777777" w:rsidR="00CF66FC" w:rsidRPr="00753949" w:rsidRDefault="00CF66FC" w:rsidP="00054166">
            <w:pPr>
              <w:spacing w:before="40" w:after="40"/>
              <w:rPr>
                <w:rFonts w:cs="Tahoma"/>
                <w:b/>
                <w:color w:val="FFFFFF" w:themeColor="background1"/>
                <w:sz w:val="24"/>
                <w:szCs w:val="20"/>
              </w:rPr>
            </w:pPr>
            <w:r w:rsidRPr="00753949">
              <w:rPr>
                <w:rFonts w:cs="Tahoma"/>
                <w:b/>
                <w:color w:val="FFFFFF" w:themeColor="background1"/>
                <w:sz w:val="24"/>
                <w:szCs w:val="20"/>
              </w:rPr>
              <w:t>Date:</w:t>
            </w:r>
          </w:p>
        </w:tc>
        <w:tc>
          <w:tcPr>
            <w:tcW w:w="408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9AD4C44" w14:textId="77777777" w:rsidR="00CF66FC" w:rsidRDefault="00CF66FC" w:rsidP="00054166">
            <w:pPr>
              <w:spacing w:before="40" w:after="40"/>
              <w:rPr>
                <w:rFonts w:cs="Tahoma"/>
                <w:b/>
                <w:color w:val="244061"/>
                <w:sz w:val="24"/>
                <w:szCs w:val="20"/>
              </w:rPr>
            </w:pPr>
          </w:p>
        </w:tc>
      </w:tr>
    </w:tbl>
    <w:p w14:paraId="15E4FC56" w14:textId="77777777" w:rsidR="00136222" w:rsidRDefault="00136222" w:rsidP="00CF66FC"/>
    <w:sectPr w:rsidR="00136222" w:rsidSect="00A32DAA">
      <w:type w:val="continuous"/>
      <w:pgSz w:w="11906" w:h="16838"/>
      <w:pgMar w:top="567" w:right="873"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4F8D6" w14:textId="77777777" w:rsidR="00A32DAA" w:rsidRDefault="00A32DAA" w:rsidP="00895EFC">
      <w:pPr>
        <w:spacing w:after="0" w:line="240" w:lineRule="auto"/>
      </w:pPr>
      <w:r>
        <w:separator/>
      </w:r>
    </w:p>
  </w:endnote>
  <w:endnote w:type="continuationSeparator" w:id="0">
    <w:p w14:paraId="26D9AEAA" w14:textId="77777777" w:rsidR="00A32DAA" w:rsidRDefault="00A32DAA" w:rsidP="00895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7B84" w14:textId="77777777" w:rsidR="00136222" w:rsidRDefault="00F20092" w:rsidP="00E64FD2">
    <w:pPr>
      <w:pStyle w:val="Footer"/>
    </w:pPr>
    <w:r>
      <w:rPr>
        <w:sz w:val="14"/>
      </w:rPr>
      <w:tab/>
    </w:r>
    <w:r w:rsidRPr="00B25455">
      <w:rPr>
        <w:sz w:val="14"/>
      </w:rPr>
      <w:ptab w:relativeTo="margin" w:alignment="center" w:leader="none"/>
    </w:r>
    <w:r>
      <w:ptab w:relativeTo="margin" w:alignment="right" w:leader="none"/>
    </w:r>
  </w:p>
  <w:p w14:paraId="4DEFEB5F" w14:textId="77777777" w:rsidR="00262513" w:rsidRPr="001D6FC4" w:rsidRDefault="00262513" w:rsidP="00262513">
    <w:pPr>
      <w:pStyle w:val="Footer"/>
      <w:ind w:right="-1264"/>
      <w:rPr>
        <w:rStyle w:val="PageNumber"/>
        <w:rFonts w:ascii="Century Gothic" w:hAnsi="Century Gothic"/>
        <w:sz w:val="19"/>
        <w:szCs w:val="19"/>
      </w:rPr>
    </w:pPr>
    <w:r>
      <w:rPr>
        <w:rStyle w:val="PageNumber"/>
        <w:rFonts w:ascii="Century Gothic" w:hAnsi="Century Gothic"/>
        <w:sz w:val="16"/>
      </w:rPr>
      <w:t>Essentials:</w:t>
    </w:r>
    <w:r>
      <w:rPr>
        <w:rStyle w:val="PageNumber"/>
        <w:rFonts w:ascii="Century Gothic" w:hAnsi="Century Gothic"/>
        <w:sz w:val="16"/>
      </w:rPr>
      <w:tab/>
    </w:r>
    <w:r>
      <w:rPr>
        <w:rStyle w:val="PageNumber"/>
        <w:rFonts w:ascii="Century Gothic" w:hAnsi="Century Gothic"/>
        <w:sz w:val="16"/>
      </w:rPr>
      <w:tab/>
    </w:r>
    <w:r w:rsidRPr="001D6FC4">
      <w:rPr>
        <w:rStyle w:val="PageNumber"/>
        <w:rFonts w:ascii="Century Gothic" w:hAnsi="Century Gothic"/>
        <w:sz w:val="19"/>
        <w:szCs w:val="19"/>
      </w:rPr>
      <w:t xml:space="preserve">Page </w:t>
    </w:r>
    <w:r w:rsidRPr="001D6FC4">
      <w:rPr>
        <w:rStyle w:val="PageNumber"/>
        <w:rFonts w:ascii="Century Gothic" w:hAnsi="Century Gothic"/>
        <w:sz w:val="19"/>
        <w:szCs w:val="19"/>
      </w:rPr>
      <w:fldChar w:fldCharType="begin"/>
    </w:r>
    <w:r w:rsidRPr="001D6FC4">
      <w:rPr>
        <w:rStyle w:val="PageNumber"/>
        <w:rFonts w:ascii="Century Gothic" w:hAnsi="Century Gothic"/>
        <w:sz w:val="19"/>
        <w:szCs w:val="19"/>
      </w:rPr>
      <w:instrText xml:space="preserve"> PAGE </w:instrText>
    </w:r>
    <w:r w:rsidRPr="001D6FC4">
      <w:rPr>
        <w:rStyle w:val="PageNumber"/>
        <w:rFonts w:ascii="Century Gothic" w:hAnsi="Century Gothic"/>
        <w:sz w:val="19"/>
        <w:szCs w:val="19"/>
      </w:rPr>
      <w:fldChar w:fldCharType="separate"/>
    </w:r>
    <w:r>
      <w:rPr>
        <w:rStyle w:val="PageNumber"/>
        <w:rFonts w:ascii="Century Gothic" w:hAnsi="Century Gothic"/>
        <w:sz w:val="19"/>
        <w:szCs w:val="19"/>
      </w:rPr>
      <w:t>1</w:t>
    </w:r>
    <w:r w:rsidRPr="001D6FC4">
      <w:rPr>
        <w:rStyle w:val="PageNumber"/>
        <w:rFonts w:ascii="Century Gothic" w:hAnsi="Century Gothic"/>
        <w:sz w:val="19"/>
        <w:szCs w:val="19"/>
      </w:rPr>
      <w:fldChar w:fldCharType="end"/>
    </w:r>
    <w:r w:rsidRPr="001D6FC4">
      <w:rPr>
        <w:rStyle w:val="PageNumber"/>
        <w:rFonts w:ascii="Century Gothic" w:hAnsi="Century Gothic"/>
        <w:sz w:val="19"/>
        <w:szCs w:val="19"/>
      </w:rPr>
      <w:t xml:space="preserve"> of </w:t>
    </w:r>
    <w:r w:rsidRPr="001D6FC4">
      <w:rPr>
        <w:rStyle w:val="PageNumber"/>
        <w:rFonts w:ascii="Century Gothic" w:hAnsi="Century Gothic"/>
        <w:sz w:val="19"/>
        <w:szCs w:val="19"/>
      </w:rPr>
      <w:fldChar w:fldCharType="begin"/>
    </w:r>
    <w:r w:rsidRPr="001D6FC4">
      <w:rPr>
        <w:rStyle w:val="PageNumber"/>
        <w:rFonts w:ascii="Century Gothic" w:hAnsi="Century Gothic"/>
        <w:sz w:val="19"/>
        <w:szCs w:val="19"/>
      </w:rPr>
      <w:instrText xml:space="preserve"> NUMPAGES </w:instrText>
    </w:r>
    <w:r w:rsidRPr="001D6FC4">
      <w:rPr>
        <w:rStyle w:val="PageNumber"/>
        <w:rFonts w:ascii="Century Gothic" w:hAnsi="Century Gothic"/>
        <w:sz w:val="19"/>
        <w:szCs w:val="19"/>
      </w:rPr>
      <w:fldChar w:fldCharType="separate"/>
    </w:r>
    <w:r>
      <w:rPr>
        <w:rStyle w:val="PageNumber"/>
        <w:rFonts w:ascii="Century Gothic" w:hAnsi="Century Gothic"/>
        <w:sz w:val="19"/>
        <w:szCs w:val="19"/>
      </w:rPr>
      <w:t>2</w:t>
    </w:r>
    <w:r w:rsidRPr="001D6FC4">
      <w:rPr>
        <w:rStyle w:val="PageNumber"/>
        <w:rFonts w:ascii="Century Gothic" w:hAnsi="Century Gothic"/>
        <w:sz w:val="19"/>
        <w:szCs w:val="19"/>
      </w:rPr>
      <w:fldChar w:fldCharType="end"/>
    </w:r>
  </w:p>
  <w:p w14:paraId="729F6E76" w14:textId="21921E2B" w:rsidR="00136222" w:rsidRPr="00753949" w:rsidRDefault="00262513" w:rsidP="00262513">
    <w:pPr>
      <w:pStyle w:val="Footer"/>
      <w:ind w:right="-1264"/>
      <w:rPr>
        <w:rFonts w:ascii="Century Gothic" w:hAnsi="Century Gothic"/>
      </w:rPr>
    </w:pPr>
    <w:r>
      <w:rPr>
        <w:rStyle w:val="PageNumber"/>
        <w:rFonts w:ascii="Century Gothic" w:hAnsi="Century Gothic"/>
        <w:sz w:val="16"/>
      </w:rPr>
      <w:t xml:space="preserve">ESS30102023 ATR client </w:t>
    </w:r>
    <w:proofErr w:type="gramStart"/>
    <w:r>
      <w:rPr>
        <w:rStyle w:val="PageNumber"/>
        <w:rFonts w:ascii="Century Gothic" w:hAnsi="Century Gothic"/>
        <w:sz w:val="16"/>
      </w:rPr>
      <w:t>facing</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9B4A" w14:textId="5A5DD774" w:rsidR="00753949" w:rsidRPr="001D6FC4" w:rsidRDefault="00262513" w:rsidP="00753949">
    <w:pPr>
      <w:pStyle w:val="Footer"/>
      <w:ind w:right="-1264"/>
      <w:rPr>
        <w:rStyle w:val="PageNumber"/>
        <w:rFonts w:ascii="Century Gothic" w:hAnsi="Century Gothic"/>
        <w:sz w:val="19"/>
        <w:szCs w:val="19"/>
      </w:rPr>
    </w:pPr>
    <w:r>
      <w:rPr>
        <w:rStyle w:val="PageNumber"/>
        <w:rFonts w:ascii="Century Gothic" w:hAnsi="Century Gothic"/>
        <w:sz w:val="16"/>
      </w:rPr>
      <w:t>Essentials</w:t>
    </w:r>
    <w:r w:rsidR="00753949">
      <w:rPr>
        <w:rStyle w:val="PageNumber"/>
        <w:rFonts w:ascii="Century Gothic" w:hAnsi="Century Gothic"/>
        <w:sz w:val="16"/>
      </w:rPr>
      <w:t>:</w:t>
    </w:r>
    <w:r w:rsidR="00753949">
      <w:rPr>
        <w:rStyle w:val="PageNumber"/>
        <w:rFonts w:ascii="Century Gothic" w:hAnsi="Century Gothic"/>
        <w:sz w:val="16"/>
      </w:rPr>
      <w:tab/>
    </w:r>
    <w:r w:rsidR="00753949">
      <w:rPr>
        <w:rStyle w:val="PageNumber"/>
        <w:rFonts w:ascii="Century Gothic" w:hAnsi="Century Gothic"/>
        <w:sz w:val="16"/>
      </w:rPr>
      <w:tab/>
    </w:r>
    <w:r w:rsidR="00753949" w:rsidRPr="001D6FC4">
      <w:rPr>
        <w:rStyle w:val="PageNumber"/>
        <w:rFonts w:ascii="Century Gothic" w:hAnsi="Century Gothic"/>
        <w:sz w:val="19"/>
        <w:szCs w:val="19"/>
      </w:rPr>
      <w:t xml:space="preserve">Page </w:t>
    </w:r>
    <w:r w:rsidR="00753949" w:rsidRPr="001D6FC4">
      <w:rPr>
        <w:rStyle w:val="PageNumber"/>
        <w:rFonts w:ascii="Century Gothic" w:hAnsi="Century Gothic"/>
        <w:sz w:val="19"/>
        <w:szCs w:val="19"/>
      </w:rPr>
      <w:fldChar w:fldCharType="begin"/>
    </w:r>
    <w:r w:rsidR="00753949" w:rsidRPr="001D6FC4">
      <w:rPr>
        <w:rStyle w:val="PageNumber"/>
        <w:rFonts w:ascii="Century Gothic" w:hAnsi="Century Gothic"/>
        <w:sz w:val="19"/>
        <w:szCs w:val="19"/>
      </w:rPr>
      <w:instrText xml:space="preserve"> PAGE </w:instrText>
    </w:r>
    <w:r w:rsidR="00753949" w:rsidRPr="001D6FC4">
      <w:rPr>
        <w:rStyle w:val="PageNumber"/>
        <w:rFonts w:ascii="Century Gothic" w:hAnsi="Century Gothic"/>
        <w:sz w:val="19"/>
        <w:szCs w:val="19"/>
      </w:rPr>
      <w:fldChar w:fldCharType="separate"/>
    </w:r>
    <w:r w:rsidR="00753949">
      <w:rPr>
        <w:rStyle w:val="PageNumber"/>
        <w:rFonts w:ascii="Century Gothic" w:hAnsi="Century Gothic"/>
        <w:sz w:val="19"/>
        <w:szCs w:val="19"/>
      </w:rPr>
      <w:t>1</w:t>
    </w:r>
    <w:r w:rsidR="00753949" w:rsidRPr="001D6FC4">
      <w:rPr>
        <w:rStyle w:val="PageNumber"/>
        <w:rFonts w:ascii="Century Gothic" w:hAnsi="Century Gothic"/>
        <w:sz w:val="19"/>
        <w:szCs w:val="19"/>
      </w:rPr>
      <w:fldChar w:fldCharType="end"/>
    </w:r>
    <w:r w:rsidR="00753949" w:rsidRPr="001D6FC4">
      <w:rPr>
        <w:rStyle w:val="PageNumber"/>
        <w:rFonts w:ascii="Century Gothic" w:hAnsi="Century Gothic"/>
        <w:sz w:val="19"/>
        <w:szCs w:val="19"/>
      </w:rPr>
      <w:t xml:space="preserve"> of </w:t>
    </w:r>
    <w:r w:rsidR="00753949" w:rsidRPr="001D6FC4">
      <w:rPr>
        <w:rStyle w:val="PageNumber"/>
        <w:rFonts w:ascii="Century Gothic" w:hAnsi="Century Gothic"/>
        <w:sz w:val="19"/>
        <w:szCs w:val="19"/>
      </w:rPr>
      <w:fldChar w:fldCharType="begin"/>
    </w:r>
    <w:r w:rsidR="00753949" w:rsidRPr="001D6FC4">
      <w:rPr>
        <w:rStyle w:val="PageNumber"/>
        <w:rFonts w:ascii="Century Gothic" w:hAnsi="Century Gothic"/>
        <w:sz w:val="19"/>
        <w:szCs w:val="19"/>
      </w:rPr>
      <w:instrText xml:space="preserve"> NUMPAGES </w:instrText>
    </w:r>
    <w:r w:rsidR="00753949" w:rsidRPr="001D6FC4">
      <w:rPr>
        <w:rStyle w:val="PageNumber"/>
        <w:rFonts w:ascii="Century Gothic" w:hAnsi="Century Gothic"/>
        <w:sz w:val="19"/>
        <w:szCs w:val="19"/>
      </w:rPr>
      <w:fldChar w:fldCharType="separate"/>
    </w:r>
    <w:r w:rsidR="00753949">
      <w:rPr>
        <w:rStyle w:val="PageNumber"/>
        <w:rFonts w:ascii="Century Gothic" w:hAnsi="Century Gothic"/>
        <w:sz w:val="19"/>
        <w:szCs w:val="19"/>
      </w:rPr>
      <w:t>4</w:t>
    </w:r>
    <w:r w:rsidR="00753949" w:rsidRPr="001D6FC4">
      <w:rPr>
        <w:rStyle w:val="PageNumber"/>
        <w:rFonts w:ascii="Century Gothic" w:hAnsi="Century Gothic"/>
        <w:sz w:val="19"/>
        <w:szCs w:val="19"/>
      </w:rPr>
      <w:fldChar w:fldCharType="end"/>
    </w:r>
  </w:p>
  <w:p w14:paraId="0ECBA9E7" w14:textId="25EA08B5" w:rsidR="00753949" w:rsidRPr="00753949" w:rsidRDefault="00262513" w:rsidP="00753949">
    <w:pPr>
      <w:pStyle w:val="Footer"/>
      <w:ind w:right="-1264"/>
      <w:rPr>
        <w:rFonts w:ascii="Century Gothic" w:hAnsi="Century Gothic"/>
      </w:rPr>
    </w:pPr>
    <w:r>
      <w:rPr>
        <w:rStyle w:val="PageNumber"/>
        <w:rFonts w:ascii="Century Gothic" w:hAnsi="Century Gothic"/>
        <w:sz w:val="16"/>
      </w:rPr>
      <w:t>ESS</w:t>
    </w:r>
    <w:r w:rsidR="00753949">
      <w:rPr>
        <w:rStyle w:val="PageNumber"/>
        <w:rFonts w:ascii="Century Gothic" w:hAnsi="Century Gothic"/>
        <w:sz w:val="16"/>
      </w:rPr>
      <w:t xml:space="preserve">30102023 ATR client </w:t>
    </w:r>
    <w:proofErr w:type="gramStart"/>
    <w:r w:rsidR="00753949">
      <w:rPr>
        <w:rStyle w:val="PageNumber"/>
        <w:rFonts w:ascii="Century Gothic" w:hAnsi="Century Gothic"/>
        <w:sz w:val="16"/>
      </w:rPr>
      <w:t>facing</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BBCA9" w14:textId="77777777" w:rsidR="00A32DAA" w:rsidRDefault="00A32DAA" w:rsidP="00895EFC">
      <w:pPr>
        <w:spacing w:after="0" w:line="240" w:lineRule="auto"/>
      </w:pPr>
      <w:r>
        <w:separator/>
      </w:r>
    </w:p>
  </w:footnote>
  <w:footnote w:type="continuationSeparator" w:id="0">
    <w:p w14:paraId="7B23AC80" w14:textId="77777777" w:rsidR="00A32DAA" w:rsidRDefault="00A32DAA" w:rsidP="00895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8B74" w14:textId="16B8305D" w:rsidR="00753949" w:rsidRPr="00174882" w:rsidRDefault="00262513" w:rsidP="00753949">
    <w:pPr>
      <w:pStyle w:val="Header"/>
      <w:shd w:val="clear" w:color="auto" w:fill="008E8E"/>
    </w:pPr>
    <w:r>
      <w:rPr>
        <w:rFonts w:ascii="Century Gothic" w:hAnsi="Century Gothic"/>
        <w:b/>
        <w:color w:val="FFFFFF"/>
        <w:sz w:val="36"/>
        <w:szCs w:val="36"/>
      </w:rPr>
      <w:t>Essentials</w:t>
    </w:r>
    <w:r w:rsidR="00753949" w:rsidRPr="0029784D">
      <w:rPr>
        <w:rFonts w:ascii="Century Gothic" w:hAnsi="Century Gothic"/>
        <w:b/>
        <w:color w:val="FFFFFF"/>
        <w:sz w:val="36"/>
        <w:szCs w:val="36"/>
      </w:rPr>
      <w:tab/>
    </w:r>
  </w:p>
  <w:p w14:paraId="373C6818" w14:textId="77777777" w:rsidR="00753949" w:rsidRDefault="007539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EFC"/>
    <w:rsid w:val="00136222"/>
    <w:rsid w:val="00184FB4"/>
    <w:rsid w:val="00262513"/>
    <w:rsid w:val="002C22BC"/>
    <w:rsid w:val="00317224"/>
    <w:rsid w:val="004968BE"/>
    <w:rsid w:val="004C54F4"/>
    <w:rsid w:val="00637ACB"/>
    <w:rsid w:val="00640DE1"/>
    <w:rsid w:val="006829F7"/>
    <w:rsid w:val="00753949"/>
    <w:rsid w:val="00772A0B"/>
    <w:rsid w:val="00793E1F"/>
    <w:rsid w:val="0083751E"/>
    <w:rsid w:val="00895EFC"/>
    <w:rsid w:val="008B0C4E"/>
    <w:rsid w:val="008D426E"/>
    <w:rsid w:val="00A32DAA"/>
    <w:rsid w:val="00BD3C6D"/>
    <w:rsid w:val="00C633C9"/>
    <w:rsid w:val="00C849E4"/>
    <w:rsid w:val="00CF66FC"/>
    <w:rsid w:val="00D678FB"/>
    <w:rsid w:val="00DB785C"/>
    <w:rsid w:val="00DB7A62"/>
    <w:rsid w:val="00E61C4C"/>
    <w:rsid w:val="00EE5396"/>
    <w:rsid w:val="00F20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0EB54"/>
  <w15:chartTrackingRefBased/>
  <w15:docId w15:val="{A4F09ED0-C7A1-4DE0-9CF0-E41D98C5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5EFC"/>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895E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EFC"/>
    <w:rPr>
      <w:rFonts w:eastAsiaTheme="minorEastAsia"/>
      <w:lang w:eastAsia="en-GB"/>
    </w:rPr>
  </w:style>
  <w:style w:type="paragraph" w:styleId="Header">
    <w:name w:val="header"/>
    <w:basedOn w:val="Normal"/>
    <w:link w:val="HeaderChar"/>
    <w:uiPriority w:val="99"/>
    <w:unhideWhenUsed/>
    <w:rsid w:val="00895E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EFC"/>
    <w:rPr>
      <w:rFonts w:eastAsiaTheme="minorEastAsia"/>
      <w:lang w:eastAsia="en-GB"/>
    </w:rPr>
  </w:style>
  <w:style w:type="character" w:styleId="PageNumber">
    <w:name w:val="page number"/>
    <w:unhideWhenUsed/>
    <w:rsid w:val="00753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F24D7-7943-B44C-B1E0-292EBC64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Dennison</dc:creator>
  <cp:keywords/>
  <dc:description/>
  <cp:lastModifiedBy>Sarah Dennison</cp:lastModifiedBy>
  <cp:revision>3</cp:revision>
  <dcterms:created xsi:type="dcterms:W3CDTF">2024-02-21T16:08:00Z</dcterms:created>
  <dcterms:modified xsi:type="dcterms:W3CDTF">2024-02-21T16:08:00Z</dcterms:modified>
</cp:coreProperties>
</file>