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187B" w14:textId="77777777" w:rsidR="00955F58" w:rsidRDefault="00955F58" w:rsidP="00F205FA">
      <w:pPr>
        <w:widowControl w:val="0"/>
        <w:autoSpaceDE w:val="0"/>
        <w:autoSpaceDN w:val="0"/>
        <w:adjustRightInd w:val="0"/>
        <w:jc w:val="both"/>
        <w:rPr>
          <w:rFonts w:ascii="Century Gothic" w:hAnsi="Century Gothic"/>
          <w:b/>
          <w:bCs/>
          <w:color w:val="00B6C0"/>
          <w:sz w:val="36"/>
          <w:szCs w:val="36"/>
        </w:rPr>
      </w:pPr>
    </w:p>
    <w:p w14:paraId="18088476" w14:textId="3B135F28" w:rsidR="00E80CDE" w:rsidRPr="00F42A7A" w:rsidRDefault="00E80CDE" w:rsidP="00F205FA">
      <w:pPr>
        <w:widowControl w:val="0"/>
        <w:autoSpaceDE w:val="0"/>
        <w:autoSpaceDN w:val="0"/>
        <w:adjustRightInd w:val="0"/>
        <w:jc w:val="both"/>
        <w:rPr>
          <w:rFonts w:ascii="Century Gothic" w:hAnsi="Century Gothic"/>
          <w:b/>
          <w:bCs/>
          <w:color w:val="00B6C0"/>
          <w:sz w:val="36"/>
          <w:szCs w:val="36"/>
          <w:shd w:val="clear" w:color="auto" w:fill="FFFFFF"/>
        </w:rPr>
      </w:pPr>
      <w:r w:rsidRPr="00F42A7A">
        <w:rPr>
          <w:rFonts w:ascii="Century Gothic" w:hAnsi="Century Gothic"/>
          <w:b/>
          <w:bCs/>
          <w:color w:val="00B6C0"/>
          <w:sz w:val="36"/>
          <w:szCs w:val="36"/>
        </w:rPr>
        <w:t xml:space="preserve">Preparing </w:t>
      </w:r>
      <w:r w:rsidR="0084229B">
        <w:rPr>
          <w:rFonts w:ascii="Century Gothic" w:hAnsi="Century Gothic"/>
          <w:b/>
          <w:bCs/>
          <w:color w:val="00B6C0"/>
          <w:sz w:val="36"/>
          <w:szCs w:val="36"/>
        </w:rPr>
        <w:t xml:space="preserve">for </w:t>
      </w:r>
      <w:r w:rsidRPr="00F42A7A">
        <w:rPr>
          <w:rFonts w:ascii="Century Gothic" w:hAnsi="Century Gothic"/>
          <w:b/>
          <w:bCs/>
          <w:color w:val="00B6C0"/>
          <w:sz w:val="36"/>
          <w:szCs w:val="36"/>
        </w:rPr>
        <w:t>consumer duty: checklist</w:t>
      </w:r>
      <w:r w:rsidR="0084229B">
        <w:rPr>
          <w:rFonts w:ascii="Century Gothic" w:hAnsi="Century Gothic"/>
          <w:b/>
          <w:bCs/>
          <w:color w:val="00B6C0"/>
          <w:sz w:val="36"/>
          <w:szCs w:val="36"/>
        </w:rPr>
        <w:t xml:space="preserve"> and action plan</w:t>
      </w:r>
    </w:p>
    <w:p w14:paraId="19CE589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C297BC3" w14:textId="77777777" w:rsidR="00E80CDE" w:rsidRPr="00F205FA" w:rsidRDefault="00E80CDE" w:rsidP="00F205FA">
      <w:pPr>
        <w:widowControl w:val="0"/>
        <w:pBdr>
          <w:top w:val="single" w:sz="8" w:space="0" w:color="CCCCCC"/>
          <w:bottom w:val="single" w:sz="8" w:space="0" w:color="CCCCCC"/>
        </w:pBdr>
        <w:autoSpaceDE w:val="0"/>
        <w:autoSpaceDN w:val="0"/>
        <w:adjustRightInd w:val="0"/>
        <w:jc w:val="both"/>
        <w:rPr>
          <w:rFonts w:ascii="Century Gothic" w:hAnsi="Century Gothic"/>
          <w:color w:val="777777"/>
          <w:sz w:val="22"/>
          <w:szCs w:val="22"/>
        </w:rPr>
      </w:pPr>
      <w:r w:rsidRPr="00F205FA">
        <w:rPr>
          <w:rFonts w:ascii="Century Gothic" w:hAnsi="Century Gothic"/>
          <w:color w:val="777777"/>
          <w:sz w:val="22"/>
          <w:szCs w:val="22"/>
        </w:rPr>
        <w:t> </w:t>
      </w:r>
    </w:p>
    <w:p w14:paraId="7E7DB8AF" w14:textId="36467228" w:rsidR="00E80CDE" w:rsidRPr="00F205FA" w:rsidRDefault="00E80CDE" w:rsidP="00F205FA">
      <w:pPr>
        <w:widowControl w:val="0"/>
        <w:pBdr>
          <w:top w:val="single" w:sz="8" w:space="0" w:color="CCCCCC"/>
          <w:bottom w:val="single" w:sz="8" w:space="0" w:color="CCCCCC"/>
        </w:pBdr>
        <w:autoSpaceDE w:val="0"/>
        <w:autoSpaceDN w:val="0"/>
        <w:adjustRightInd w:val="0"/>
        <w:jc w:val="both"/>
        <w:rPr>
          <w:rFonts w:ascii="Century Gothic" w:hAnsi="Century Gothic"/>
          <w:color w:val="000000" w:themeColor="text1"/>
          <w:sz w:val="22"/>
          <w:szCs w:val="22"/>
        </w:rPr>
      </w:pPr>
      <w:r w:rsidRPr="00F205FA">
        <w:rPr>
          <w:rFonts w:ascii="Century Gothic" w:hAnsi="Century Gothic"/>
          <w:color w:val="000000" w:themeColor="text1"/>
          <w:sz w:val="22"/>
          <w:szCs w:val="22"/>
        </w:rPr>
        <w:t xml:space="preserve">This checklist is mainly based as based on the FCA’s non-Handbook guidance on the duty. Where gaps are identified, it is expected a firm’s executive will establish an action plan for implementation. This initial work should be done October </w:t>
      </w:r>
      <w:r w:rsidR="0084229B">
        <w:rPr>
          <w:rFonts w:ascii="Century Gothic" w:hAnsi="Century Gothic"/>
          <w:color w:val="000000" w:themeColor="text1"/>
          <w:sz w:val="22"/>
          <w:szCs w:val="22"/>
        </w:rPr>
        <w:t>31</w:t>
      </w:r>
      <w:proofErr w:type="gramStart"/>
      <w:r w:rsidR="0084229B">
        <w:rPr>
          <w:rFonts w:ascii="Century Gothic" w:hAnsi="Century Gothic"/>
          <w:color w:val="000000" w:themeColor="text1"/>
          <w:sz w:val="22"/>
          <w:szCs w:val="22"/>
        </w:rPr>
        <w:t xml:space="preserve"> </w:t>
      </w:r>
      <w:r w:rsidRPr="00F205FA">
        <w:rPr>
          <w:rFonts w:ascii="Century Gothic" w:hAnsi="Century Gothic"/>
          <w:color w:val="000000" w:themeColor="text1"/>
          <w:sz w:val="22"/>
          <w:szCs w:val="22"/>
        </w:rPr>
        <w:t>2022</w:t>
      </w:r>
      <w:proofErr w:type="gramEnd"/>
      <w:r w:rsidRPr="00F205FA">
        <w:rPr>
          <w:rFonts w:ascii="Century Gothic" w:hAnsi="Century Gothic"/>
          <w:color w:val="000000" w:themeColor="text1"/>
          <w:sz w:val="22"/>
          <w:szCs w:val="22"/>
        </w:rPr>
        <w:t>.</w:t>
      </w:r>
    </w:p>
    <w:p w14:paraId="38231167" w14:textId="77777777" w:rsidR="00E80CDE" w:rsidRPr="00F205FA" w:rsidRDefault="00E80CDE" w:rsidP="00F205FA">
      <w:pPr>
        <w:widowControl w:val="0"/>
        <w:pBdr>
          <w:top w:val="single" w:sz="8" w:space="0" w:color="CCCCCC"/>
          <w:bottom w:val="single" w:sz="8" w:space="0" w:color="CCCCCC"/>
        </w:pBdr>
        <w:autoSpaceDE w:val="0"/>
        <w:autoSpaceDN w:val="0"/>
        <w:adjustRightInd w:val="0"/>
        <w:spacing w:after="220"/>
        <w:jc w:val="both"/>
        <w:rPr>
          <w:rFonts w:ascii="Century Gothic" w:hAnsi="Century Gothic"/>
          <w:color w:val="777777"/>
          <w:sz w:val="22"/>
          <w:szCs w:val="22"/>
        </w:rPr>
      </w:pPr>
      <w:r w:rsidRPr="00F205FA">
        <w:rPr>
          <w:rFonts w:ascii="Century Gothic" w:hAnsi="Century Gothic"/>
          <w:color w:val="777777"/>
          <w:sz w:val="22"/>
          <w:szCs w:val="22"/>
        </w:rPr>
        <w:t>  </w:t>
      </w:r>
    </w:p>
    <w:p w14:paraId="345F71C3"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4C9C1B68" w14:textId="77777777" w:rsidR="00E80CDE" w:rsidRPr="00F42A7A" w:rsidRDefault="00E80CDE" w:rsidP="00F205FA">
      <w:pPr>
        <w:widowControl w:val="0"/>
        <w:autoSpaceDE w:val="0"/>
        <w:autoSpaceDN w:val="0"/>
        <w:adjustRightInd w:val="0"/>
        <w:jc w:val="both"/>
        <w:rPr>
          <w:rFonts w:ascii="Century Gothic" w:hAnsi="Century Gothic"/>
          <w:b/>
          <w:bCs/>
          <w:shd w:val="clear" w:color="auto" w:fill="FFFFFF"/>
        </w:rPr>
      </w:pPr>
      <w:r w:rsidRPr="00F42A7A">
        <w:rPr>
          <w:rFonts w:ascii="Century Gothic" w:hAnsi="Century Gothic"/>
          <w:b/>
          <w:bCs/>
        </w:rPr>
        <w:t>Scope of this checklist</w:t>
      </w:r>
    </w:p>
    <w:p w14:paraId="1BD44F42"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AF14EB9" w14:textId="4F6302CB" w:rsidR="00E80CDE" w:rsidRPr="00F205FA" w:rsidRDefault="00E80CDE" w:rsidP="00F205FA">
      <w:pPr>
        <w:widowControl w:val="0"/>
        <w:autoSpaceDE w:val="0"/>
        <w:autoSpaceDN w:val="0"/>
        <w:adjustRightInd w:val="0"/>
        <w:jc w:val="both"/>
        <w:rPr>
          <w:rFonts w:ascii="Century Gothic" w:hAnsi="Century Gothic"/>
          <w:color w:val="000000" w:themeColor="text1"/>
          <w:sz w:val="22"/>
          <w:szCs w:val="22"/>
        </w:rPr>
      </w:pPr>
      <w:r w:rsidRPr="00F205FA">
        <w:rPr>
          <w:rFonts w:ascii="Century Gothic" w:hAnsi="Century Gothic"/>
          <w:color w:val="000000" w:themeColor="text1"/>
          <w:sz w:val="22"/>
          <w:szCs w:val="22"/>
        </w:rPr>
        <w:t xml:space="preserve">A note on the definition of “consumer” and customer in this checklist </w:t>
      </w:r>
      <w:r w:rsidR="00545FD3">
        <w:rPr>
          <w:rFonts w:ascii="Century Gothic" w:hAnsi="Century Gothic"/>
          <w:color w:val="000000" w:themeColor="text1"/>
          <w:sz w:val="22"/>
          <w:szCs w:val="22"/>
        </w:rPr>
        <w:t>i</w:t>
      </w:r>
      <w:r w:rsidRPr="00F205FA">
        <w:rPr>
          <w:rFonts w:ascii="Century Gothic" w:hAnsi="Century Gothic"/>
          <w:color w:val="000000" w:themeColor="text1"/>
          <w:sz w:val="22"/>
          <w:szCs w:val="22"/>
        </w:rPr>
        <w:t>n the non-Handbook guidance, the FCA explains that it uses “consumer” when talking about the wider group of those who use financial services and “customer” when talking about an individual firm’s customers or potential customers.</w:t>
      </w:r>
    </w:p>
    <w:p w14:paraId="5665EE71"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p>
    <w:p w14:paraId="1F7939B9"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The FCA wants to see a higher level of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protection in retail financial markets, where firms compete vigorously in the interests of </w:t>
      </w:r>
      <w:r w:rsidRPr="00F205FA">
        <w:rPr>
          <w:rFonts w:ascii="Century Gothic" w:hAnsi="Century Gothic"/>
          <w:color w:val="252525"/>
          <w:sz w:val="22"/>
          <w:szCs w:val="22"/>
        </w:rPr>
        <w:t>consumers</w:t>
      </w:r>
      <w:r w:rsidRPr="00F205FA">
        <w:rPr>
          <w:rFonts w:ascii="Century Gothic" w:hAnsi="Century Gothic"/>
          <w:color w:val="000000"/>
          <w:sz w:val="22"/>
          <w:szCs w:val="22"/>
        </w:rPr>
        <w:t xml:space="preserve">. To ensure firms do this, the FCA has consulted on a new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in a consultation paper, </w:t>
      </w:r>
      <w:hyperlink r:id="rId8" w:history="1">
        <w:r w:rsidRPr="00F205FA">
          <w:rPr>
            <w:rFonts w:ascii="Century Gothic" w:hAnsi="Century Gothic"/>
            <w:i/>
            <w:iCs/>
            <w:color w:val="0E568C"/>
            <w:sz w:val="22"/>
            <w:szCs w:val="22"/>
          </w:rPr>
          <w:t xml:space="preserve">A new </w:t>
        </w:r>
        <w:r w:rsidRPr="00F205FA">
          <w:rPr>
            <w:rFonts w:ascii="Century Gothic" w:hAnsi="Century Gothic"/>
            <w:i/>
            <w:iCs/>
            <w:color w:val="252525"/>
            <w:sz w:val="22"/>
            <w:szCs w:val="22"/>
          </w:rPr>
          <w:t>Consumer</w:t>
        </w:r>
        <w:r w:rsidRPr="00F205FA">
          <w:rPr>
            <w:rFonts w:ascii="Century Gothic" w:hAnsi="Century Gothic"/>
            <w:i/>
            <w:iCs/>
            <w:color w:val="0E568C"/>
            <w:sz w:val="22"/>
            <w:szCs w:val="22"/>
          </w:rPr>
          <w:t xml:space="preserve"> </w:t>
        </w:r>
        <w:r w:rsidRPr="00F205FA">
          <w:rPr>
            <w:rFonts w:ascii="Century Gothic" w:hAnsi="Century Gothic"/>
            <w:i/>
            <w:iCs/>
            <w:color w:val="252525"/>
            <w:sz w:val="22"/>
            <w:szCs w:val="22"/>
          </w:rPr>
          <w:t>Duty</w:t>
        </w:r>
        <w:r w:rsidRPr="00F205FA">
          <w:rPr>
            <w:rFonts w:ascii="Century Gothic" w:hAnsi="Century Gothic"/>
            <w:i/>
            <w:iCs/>
            <w:color w:val="0E568C"/>
            <w:sz w:val="22"/>
            <w:szCs w:val="22"/>
          </w:rPr>
          <w:t>: Feedback to CP21/13 and further consultation (CP21/36)</w:t>
        </w:r>
      </w:hyperlink>
      <w:r w:rsidRPr="00F205FA">
        <w:rPr>
          <w:rFonts w:ascii="Century Gothic" w:hAnsi="Century Gothic"/>
          <w:color w:val="000000"/>
          <w:sz w:val="22"/>
          <w:szCs w:val="22"/>
        </w:rPr>
        <w:t xml:space="preserve"> (CP21/36), which was published in December 2021.</w:t>
      </w:r>
    </w:p>
    <w:p w14:paraId="08A82B6D"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w:t>
      </w:r>
    </w:p>
    <w:p w14:paraId="3696B76F"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This </w:t>
      </w:r>
      <w:r w:rsidRPr="00F205FA">
        <w:rPr>
          <w:rFonts w:ascii="Century Gothic" w:hAnsi="Century Gothic"/>
          <w:color w:val="252525"/>
          <w:sz w:val="22"/>
          <w:szCs w:val="22"/>
        </w:rPr>
        <w:t>checklist</w:t>
      </w:r>
      <w:r w:rsidRPr="00F205FA">
        <w:rPr>
          <w:rFonts w:ascii="Century Gothic" w:hAnsi="Century Gothic"/>
          <w:color w:val="000000"/>
          <w:sz w:val="22"/>
          <w:szCs w:val="22"/>
        </w:rPr>
        <w:t xml:space="preserve"> sets out key issues for firms to consider when preparing for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w:t>
      </w:r>
      <w:proofErr w:type="gramStart"/>
      <w:r w:rsidRPr="00F205FA">
        <w:rPr>
          <w:rFonts w:ascii="Century Gothic" w:hAnsi="Century Gothic"/>
          <w:color w:val="000000"/>
          <w:sz w:val="22"/>
          <w:szCs w:val="22"/>
        </w:rPr>
        <w:t>and also</w:t>
      </w:r>
      <w:proofErr w:type="gramEnd"/>
      <w:r w:rsidRPr="00F205FA">
        <w:rPr>
          <w:rFonts w:ascii="Century Gothic" w:hAnsi="Century Gothic"/>
          <w:color w:val="000000"/>
          <w:sz w:val="22"/>
          <w:szCs w:val="22"/>
        </w:rPr>
        <w:t xml:space="preserve"> in their ongoing compliance with the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once it is in force. It is mainly based on the draft</w:t>
      </w:r>
      <w:r w:rsidRPr="00F205FA">
        <w:rPr>
          <w:rFonts w:ascii="Century Gothic" w:hAnsi="Century Gothic"/>
          <w:i/>
          <w:iCs/>
          <w:color w:val="000000"/>
          <w:sz w:val="22"/>
          <w:szCs w:val="22"/>
        </w:rPr>
        <w:t xml:space="preserve"> non-Handbook Guidance for firms on the </w:t>
      </w:r>
      <w:r w:rsidRPr="00F205FA">
        <w:rPr>
          <w:rFonts w:ascii="Century Gothic" w:hAnsi="Century Gothic"/>
          <w:i/>
          <w:iCs/>
          <w:color w:val="252525"/>
          <w:sz w:val="22"/>
          <w:szCs w:val="22"/>
        </w:rPr>
        <w:t>Consumer</w:t>
      </w:r>
      <w:r w:rsidRPr="00F205FA">
        <w:rPr>
          <w:rFonts w:ascii="Century Gothic" w:hAnsi="Century Gothic"/>
          <w:i/>
          <w:iCs/>
          <w:color w:val="000000"/>
          <w:sz w:val="22"/>
          <w:szCs w:val="22"/>
        </w:rPr>
        <w:t xml:space="preserve"> </w:t>
      </w:r>
      <w:r w:rsidRPr="00F205FA">
        <w:rPr>
          <w:rFonts w:ascii="Century Gothic" w:hAnsi="Century Gothic"/>
          <w:i/>
          <w:iCs/>
          <w:color w:val="252525"/>
          <w:sz w:val="22"/>
          <w:szCs w:val="22"/>
        </w:rPr>
        <w:t>Duty</w:t>
      </w:r>
      <w:r w:rsidRPr="00F205FA">
        <w:rPr>
          <w:rFonts w:ascii="Century Gothic" w:hAnsi="Century Gothic"/>
          <w:color w:val="000000"/>
          <w:sz w:val="22"/>
          <w:szCs w:val="22"/>
        </w:rPr>
        <w:t xml:space="preserve"> in Appendix 2 to CP21/36, which includes examples of actions by firms that are likely to be consistent with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This </w:t>
      </w:r>
      <w:r w:rsidRPr="00F205FA">
        <w:rPr>
          <w:rFonts w:ascii="Century Gothic" w:hAnsi="Century Gothic"/>
          <w:color w:val="252525"/>
          <w:sz w:val="22"/>
          <w:szCs w:val="22"/>
        </w:rPr>
        <w:t>checklist</w:t>
      </w:r>
      <w:r w:rsidRPr="00F205FA">
        <w:rPr>
          <w:rFonts w:ascii="Century Gothic" w:hAnsi="Century Gothic"/>
          <w:color w:val="000000"/>
          <w:sz w:val="22"/>
          <w:szCs w:val="22"/>
        </w:rPr>
        <w:t xml:space="preserve"> draws out aspects of these actions. Although it can be used as a starting point, firms are advised to read the guidance for a comprehensive list of all the issues that they </w:t>
      </w:r>
      <w:r w:rsidRPr="00F92EBA">
        <w:rPr>
          <w:rFonts w:ascii="Century Gothic" w:hAnsi="Century Gothic"/>
          <w:color w:val="000000"/>
          <w:sz w:val="22"/>
          <w:szCs w:val="22"/>
        </w:rPr>
        <w:t>need to consider.</w:t>
      </w:r>
    </w:p>
    <w:p w14:paraId="4F07F810"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 </w:t>
      </w:r>
    </w:p>
    <w:p w14:paraId="7FC45660"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There is an implementation period. This began on 1 August and concludes on 31 October 2023. Firms are expected to use the implementation period fully and to be able to demonstrate progress if asked by the FCA.</w:t>
      </w:r>
    </w:p>
    <w:p w14:paraId="2A32958A"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 </w:t>
      </w:r>
    </w:p>
    <w:p w14:paraId="719FA1ED" w14:textId="7E5E6B4D" w:rsidR="00E80CDE" w:rsidRPr="00235ACF" w:rsidRDefault="00CD4079" w:rsidP="00F205FA">
      <w:pPr>
        <w:widowControl w:val="0"/>
        <w:autoSpaceDE w:val="0"/>
        <w:autoSpaceDN w:val="0"/>
        <w:adjustRightInd w:val="0"/>
        <w:jc w:val="both"/>
        <w:rPr>
          <w:rFonts w:ascii="Century Gothic" w:hAnsi="Century Gothic"/>
          <w:b/>
          <w:bCs/>
          <w:color w:val="000000"/>
          <w:sz w:val="20"/>
          <w:szCs w:val="20"/>
        </w:rPr>
      </w:pPr>
      <w:r w:rsidRPr="00235ACF">
        <w:rPr>
          <w:rFonts w:ascii="Century Gothic" w:hAnsi="Century Gothic"/>
          <w:b/>
          <w:bCs/>
          <w:color w:val="000000"/>
          <w:sz w:val="20"/>
          <w:szCs w:val="20"/>
        </w:rPr>
        <w:t>Action plan colour coding:</w:t>
      </w:r>
    </w:p>
    <w:p w14:paraId="07476C07" w14:textId="6EB5E2C7" w:rsidR="00CD4079" w:rsidRDefault="00CD4079" w:rsidP="00F205FA">
      <w:pPr>
        <w:widowControl w:val="0"/>
        <w:autoSpaceDE w:val="0"/>
        <w:autoSpaceDN w:val="0"/>
        <w:adjustRightInd w:val="0"/>
        <w:jc w:val="both"/>
        <w:rPr>
          <w:rFonts w:ascii="Century Gothic" w:hAnsi="Century Gothic"/>
          <w:color w:val="000000"/>
          <w:sz w:val="20"/>
          <w:szCs w:val="20"/>
        </w:rPr>
      </w:pPr>
    </w:p>
    <w:tbl>
      <w:tblPr>
        <w:tblStyle w:val="TableGrid"/>
        <w:tblW w:w="0" w:type="auto"/>
        <w:tblLook w:val="04A0" w:firstRow="1" w:lastRow="0" w:firstColumn="1" w:lastColumn="0" w:noHBand="0" w:noVBand="1"/>
      </w:tblPr>
      <w:tblGrid>
        <w:gridCol w:w="2326"/>
        <w:gridCol w:w="2289"/>
        <w:gridCol w:w="2289"/>
        <w:gridCol w:w="2300"/>
        <w:gridCol w:w="2324"/>
        <w:gridCol w:w="2142"/>
      </w:tblGrid>
      <w:tr w:rsidR="0084229B" w14:paraId="1334B44C" w14:textId="28DF2403" w:rsidTr="0084229B">
        <w:tc>
          <w:tcPr>
            <w:tcW w:w="2326" w:type="dxa"/>
            <w:shd w:val="clear" w:color="auto" w:fill="D883FF"/>
            <w:vAlign w:val="center"/>
          </w:tcPr>
          <w:p w14:paraId="3DFA4CD4" w14:textId="43C4134A"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No action needed – status quo is fine</w:t>
            </w:r>
          </w:p>
        </w:tc>
        <w:tc>
          <w:tcPr>
            <w:tcW w:w="2289" w:type="dxa"/>
            <w:shd w:val="clear" w:color="auto" w:fill="00B0F0"/>
            <w:vAlign w:val="center"/>
          </w:tcPr>
          <w:p w14:paraId="466232B0" w14:textId="1E1865CA"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Small action – quick and easy</w:t>
            </w:r>
          </w:p>
        </w:tc>
        <w:tc>
          <w:tcPr>
            <w:tcW w:w="2289" w:type="dxa"/>
            <w:shd w:val="clear" w:color="auto" w:fill="FFFF00"/>
            <w:vAlign w:val="center"/>
          </w:tcPr>
          <w:p w14:paraId="403F6ECB" w14:textId="1D42C352"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Big action – lots of work</w:t>
            </w:r>
          </w:p>
        </w:tc>
        <w:tc>
          <w:tcPr>
            <w:tcW w:w="2300" w:type="dxa"/>
            <w:shd w:val="clear" w:color="auto" w:fill="FFC000"/>
            <w:vAlign w:val="center"/>
          </w:tcPr>
          <w:p w14:paraId="5C8A27F4" w14:textId="3DE2303D"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Critical – needs done quickly</w:t>
            </w:r>
          </w:p>
        </w:tc>
        <w:tc>
          <w:tcPr>
            <w:tcW w:w="2324" w:type="dxa"/>
            <w:shd w:val="clear" w:color="auto" w:fill="FF7E79"/>
            <w:vAlign w:val="center"/>
          </w:tcPr>
          <w:p w14:paraId="3B2B9D0C" w14:textId="220AD612"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Critical – big scheme of work</w:t>
            </w:r>
          </w:p>
        </w:tc>
        <w:tc>
          <w:tcPr>
            <w:tcW w:w="2142" w:type="dxa"/>
            <w:shd w:val="clear" w:color="auto" w:fill="92D050"/>
            <w:vAlign w:val="center"/>
          </w:tcPr>
          <w:p w14:paraId="13755B76" w14:textId="24BA0386"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Done</w:t>
            </w:r>
          </w:p>
        </w:tc>
      </w:tr>
    </w:tbl>
    <w:p w14:paraId="52C9D903" w14:textId="77777777" w:rsidR="00CD4079" w:rsidRDefault="00CD4079" w:rsidP="00F205FA">
      <w:pPr>
        <w:widowControl w:val="0"/>
        <w:autoSpaceDE w:val="0"/>
        <w:autoSpaceDN w:val="0"/>
        <w:adjustRightInd w:val="0"/>
        <w:jc w:val="both"/>
        <w:rPr>
          <w:rFonts w:ascii="Century Gothic" w:hAnsi="Century Gothic"/>
          <w:color w:val="000000"/>
          <w:sz w:val="20"/>
          <w:szCs w:val="20"/>
        </w:rPr>
      </w:pPr>
    </w:p>
    <w:p w14:paraId="7AABA2D6" w14:textId="77777777" w:rsidR="003836B4" w:rsidRDefault="003836B4" w:rsidP="00F205FA">
      <w:pPr>
        <w:widowControl w:val="0"/>
        <w:autoSpaceDE w:val="0"/>
        <w:autoSpaceDN w:val="0"/>
        <w:adjustRightInd w:val="0"/>
        <w:jc w:val="both"/>
        <w:rPr>
          <w:rFonts w:ascii="Century Gothic" w:hAnsi="Century Gothic"/>
          <w:color w:val="000000"/>
          <w:sz w:val="20"/>
          <w:szCs w:val="20"/>
        </w:rPr>
      </w:pPr>
    </w:p>
    <w:p w14:paraId="07AAE0BD" w14:textId="77777777" w:rsidR="003836B4" w:rsidRPr="00F205FA" w:rsidRDefault="003836B4" w:rsidP="00F205FA">
      <w:pPr>
        <w:widowControl w:val="0"/>
        <w:autoSpaceDE w:val="0"/>
        <w:autoSpaceDN w:val="0"/>
        <w:adjustRightInd w:val="0"/>
        <w:jc w:val="both"/>
        <w:rPr>
          <w:rFonts w:ascii="Century Gothic" w:hAnsi="Century Gothic"/>
          <w:color w:val="000000"/>
          <w:sz w:val="20"/>
          <w:szCs w:val="20"/>
        </w:rPr>
      </w:pPr>
    </w:p>
    <w:p w14:paraId="1413F64A" w14:textId="0A080C0C" w:rsidR="00E80CDE" w:rsidRPr="00F42A7A" w:rsidRDefault="00E80CDE" w:rsidP="00F205FA">
      <w:pPr>
        <w:widowControl w:val="0"/>
        <w:autoSpaceDE w:val="0"/>
        <w:autoSpaceDN w:val="0"/>
        <w:adjustRightInd w:val="0"/>
        <w:jc w:val="both"/>
        <w:rPr>
          <w:rFonts w:ascii="Century Gothic" w:hAnsi="Century Gothic"/>
          <w:b/>
          <w:bCs/>
        </w:rPr>
      </w:pPr>
      <w:r w:rsidRPr="00F42A7A">
        <w:rPr>
          <w:rFonts w:ascii="Century Gothic" w:hAnsi="Century Gothic"/>
          <w:b/>
          <w:bCs/>
        </w:rPr>
        <w:lastRenderedPageBreak/>
        <w:t xml:space="preserve">Approach to preparing for consumer duty and </w:t>
      </w:r>
      <w:proofErr w:type="gramStart"/>
      <w:r w:rsidRPr="00F42A7A">
        <w:rPr>
          <w:rFonts w:ascii="Century Gothic" w:hAnsi="Century Gothic"/>
          <w:b/>
          <w:bCs/>
        </w:rPr>
        <w:t>applicability</w:t>
      </w:r>
      <w:proofErr w:type="gramEnd"/>
    </w:p>
    <w:p w14:paraId="5CDC2BA7"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05839D68"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253A5C4D" w14:textId="77777777" w:rsidR="00E80CDE" w:rsidRPr="00F92EBA" w:rsidRDefault="00E80CDE" w:rsidP="00F205FA">
      <w:pPr>
        <w:widowControl w:val="0"/>
        <w:autoSpaceDE w:val="0"/>
        <w:autoSpaceDN w:val="0"/>
        <w:adjustRightInd w:val="0"/>
        <w:jc w:val="both"/>
        <w:rPr>
          <w:rFonts w:ascii="Century Gothic" w:hAnsi="Century Gothic"/>
          <w:sz w:val="22"/>
          <w:szCs w:val="22"/>
          <w:shd w:val="clear" w:color="auto" w:fill="FFFFFF"/>
        </w:rPr>
      </w:pPr>
      <w:r w:rsidRPr="00F92EBA">
        <w:rPr>
          <w:rFonts w:ascii="Century Gothic" w:hAnsi="Century Gothic"/>
          <w:sz w:val="22"/>
          <w:szCs w:val="22"/>
        </w:rPr>
        <w:t>Overseeing preparations for complying with consumer duty</w:t>
      </w:r>
    </w:p>
    <w:p w14:paraId="4AF3AE52"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9C7F95B" w14:textId="0B3AC9FA" w:rsidR="00CD4079" w:rsidRPr="00F205FA" w:rsidRDefault="00E80CDE" w:rsidP="00CD4079">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Due to its potential wide-reaching impact, firms are advised to start thinking about how they will implement the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now. Firms must have a plan in place before the end of October 2022. Issues for firms to consider include:</w:t>
      </w:r>
    </w:p>
    <w:p w14:paraId="3EEC620F"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D7AC00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13670" w:type="dxa"/>
        <w:tblLook w:val="04A0" w:firstRow="1" w:lastRow="0" w:firstColumn="1" w:lastColumn="0" w:noHBand="0" w:noVBand="1"/>
      </w:tblPr>
      <w:tblGrid>
        <w:gridCol w:w="409"/>
        <w:gridCol w:w="3839"/>
        <w:gridCol w:w="2268"/>
        <w:gridCol w:w="3969"/>
        <w:gridCol w:w="1559"/>
        <w:gridCol w:w="1626"/>
      </w:tblGrid>
      <w:tr w:rsidR="00EB07EC" w:rsidRPr="00F205FA" w14:paraId="23F64DF0" w14:textId="33145EF4" w:rsidTr="00EB07EC">
        <w:tc>
          <w:tcPr>
            <w:tcW w:w="409" w:type="dxa"/>
            <w:shd w:val="clear" w:color="auto" w:fill="009193"/>
          </w:tcPr>
          <w:p w14:paraId="3925A509" w14:textId="77777777" w:rsidR="00EB07EC" w:rsidRPr="009736D6" w:rsidRDefault="00EB07EC" w:rsidP="00F205FA">
            <w:pPr>
              <w:widowControl w:val="0"/>
              <w:autoSpaceDE w:val="0"/>
              <w:autoSpaceDN w:val="0"/>
              <w:adjustRightInd w:val="0"/>
              <w:jc w:val="both"/>
              <w:rPr>
                <w:rFonts w:ascii="Century Gothic" w:hAnsi="Century Gothic"/>
                <w:color w:val="FFFFFF" w:themeColor="background1"/>
                <w:sz w:val="20"/>
                <w:szCs w:val="20"/>
              </w:rPr>
            </w:pPr>
          </w:p>
        </w:tc>
        <w:tc>
          <w:tcPr>
            <w:tcW w:w="3839" w:type="dxa"/>
            <w:shd w:val="clear" w:color="auto" w:fill="009193"/>
          </w:tcPr>
          <w:p w14:paraId="74391199"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2268" w:type="dxa"/>
            <w:shd w:val="clear" w:color="auto" w:fill="009193"/>
          </w:tcPr>
          <w:p w14:paraId="4C6517C9"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3969" w:type="dxa"/>
            <w:shd w:val="clear" w:color="auto" w:fill="009193"/>
          </w:tcPr>
          <w:p w14:paraId="5D4E67F0"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1559" w:type="dxa"/>
            <w:shd w:val="clear" w:color="auto" w:fill="009193"/>
          </w:tcPr>
          <w:p w14:paraId="67E3BC79" w14:textId="4300D054"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1626" w:type="dxa"/>
            <w:shd w:val="clear" w:color="auto" w:fill="009193"/>
          </w:tcPr>
          <w:p w14:paraId="2F8B97F9" w14:textId="2F05B28B"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EB07EC" w:rsidRPr="00F205FA" w14:paraId="6BA6F9EB" w14:textId="1952036D" w:rsidTr="004E737C">
        <w:tc>
          <w:tcPr>
            <w:tcW w:w="409" w:type="dxa"/>
          </w:tcPr>
          <w:p w14:paraId="3B18AB4E"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3C70B53D"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Are the firm’s senior management aware of the significance, and the potential resource involved, in ensuring compliance with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p w14:paraId="4AE5C033"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6B0B329A" w14:textId="660EC3B5"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3969" w:type="dxa"/>
            <w:shd w:val="clear" w:color="auto" w:fill="auto"/>
          </w:tcPr>
          <w:p w14:paraId="27A12220" w14:textId="11985D58"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1559" w:type="dxa"/>
            <w:shd w:val="clear" w:color="auto" w:fill="auto"/>
            <w:vAlign w:val="center"/>
          </w:tcPr>
          <w:p w14:paraId="068B4BD0" w14:textId="1D243881" w:rsidR="00EB07EC" w:rsidRPr="0084229B" w:rsidRDefault="00EB07EC" w:rsidP="0084229B">
            <w:pPr>
              <w:widowControl w:val="0"/>
              <w:autoSpaceDE w:val="0"/>
              <w:autoSpaceDN w:val="0"/>
              <w:adjustRightInd w:val="0"/>
              <w:jc w:val="center"/>
              <w:rPr>
                <w:rFonts w:ascii="Century Gothic" w:hAnsi="Century Gothic"/>
                <w:color w:val="000000"/>
                <w:sz w:val="20"/>
                <w:szCs w:val="20"/>
              </w:rPr>
            </w:pPr>
          </w:p>
        </w:tc>
        <w:tc>
          <w:tcPr>
            <w:tcW w:w="1626" w:type="dxa"/>
            <w:shd w:val="clear" w:color="auto" w:fill="auto"/>
            <w:vAlign w:val="center"/>
          </w:tcPr>
          <w:p w14:paraId="7A5A2983" w14:textId="24EC6D27" w:rsidR="00EB07EC" w:rsidRPr="0084229B" w:rsidRDefault="00EB07EC" w:rsidP="0084229B">
            <w:pPr>
              <w:widowControl w:val="0"/>
              <w:autoSpaceDE w:val="0"/>
              <w:autoSpaceDN w:val="0"/>
              <w:adjustRightInd w:val="0"/>
              <w:jc w:val="center"/>
              <w:rPr>
                <w:rFonts w:ascii="Century Gothic" w:hAnsi="Century Gothic"/>
                <w:color w:val="000000"/>
                <w:sz w:val="20"/>
                <w:szCs w:val="20"/>
              </w:rPr>
            </w:pPr>
          </w:p>
        </w:tc>
      </w:tr>
      <w:tr w:rsidR="00EB07EC" w:rsidRPr="00F205FA" w14:paraId="5AD26FA3" w14:textId="6FF77A47" w:rsidTr="004E737C">
        <w:tc>
          <w:tcPr>
            <w:tcW w:w="409" w:type="dxa"/>
          </w:tcPr>
          <w:p w14:paraId="7FCE9378"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32FC6066"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Has responsibility for overseeing implementation of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been allocated to someone sufficiently senior?</w:t>
            </w:r>
          </w:p>
          <w:p w14:paraId="170B01FF"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1C585E6B" w14:textId="60593929"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Rests with </w:t>
            </w:r>
            <w:r w:rsidR="001023C6">
              <w:rPr>
                <w:rFonts w:ascii="Century Gothic" w:hAnsi="Century Gothic"/>
                <w:color w:val="000000"/>
                <w:sz w:val="20"/>
                <w:szCs w:val="20"/>
              </w:rPr>
              <w:t>James Bond</w:t>
            </w:r>
            <w:r>
              <w:rPr>
                <w:rFonts w:ascii="Century Gothic" w:hAnsi="Century Gothic"/>
                <w:color w:val="000000"/>
                <w:sz w:val="20"/>
                <w:szCs w:val="20"/>
              </w:rPr>
              <w:t>, SMF16.</w:t>
            </w:r>
          </w:p>
        </w:tc>
        <w:tc>
          <w:tcPr>
            <w:tcW w:w="3969" w:type="dxa"/>
            <w:shd w:val="clear" w:color="auto" w:fill="auto"/>
          </w:tcPr>
          <w:p w14:paraId="052AECFE" w14:textId="31338D31" w:rsidR="00A71C53" w:rsidRPr="00F205FA" w:rsidRDefault="00A71C53" w:rsidP="00F205FA">
            <w:pPr>
              <w:widowControl w:val="0"/>
              <w:autoSpaceDE w:val="0"/>
              <w:autoSpaceDN w:val="0"/>
              <w:adjustRightInd w:val="0"/>
              <w:jc w:val="both"/>
              <w:rPr>
                <w:rFonts w:ascii="Century Gothic" w:hAnsi="Century Gothic"/>
                <w:color w:val="000000"/>
                <w:sz w:val="20"/>
                <w:szCs w:val="20"/>
              </w:rPr>
            </w:pPr>
          </w:p>
        </w:tc>
        <w:tc>
          <w:tcPr>
            <w:tcW w:w="1559" w:type="dxa"/>
            <w:shd w:val="clear" w:color="auto" w:fill="auto"/>
            <w:vAlign w:val="center"/>
          </w:tcPr>
          <w:p w14:paraId="690F373F" w14:textId="7E80E08D" w:rsidR="00EB07EC" w:rsidRDefault="00EB07EC" w:rsidP="006809AE">
            <w:pPr>
              <w:widowControl w:val="0"/>
              <w:autoSpaceDE w:val="0"/>
              <w:autoSpaceDN w:val="0"/>
              <w:adjustRightInd w:val="0"/>
              <w:jc w:val="center"/>
              <w:rPr>
                <w:rFonts w:ascii="Century Gothic" w:hAnsi="Century Gothic"/>
                <w:color w:val="000000"/>
                <w:sz w:val="20"/>
                <w:szCs w:val="20"/>
              </w:rPr>
            </w:pPr>
          </w:p>
        </w:tc>
        <w:tc>
          <w:tcPr>
            <w:tcW w:w="1626" w:type="dxa"/>
            <w:shd w:val="clear" w:color="auto" w:fill="auto"/>
            <w:vAlign w:val="center"/>
          </w:tcPr>
          <w:p w14:paraId="041AE105" w14:textId="1D41C074" w:rsidR="00EB07EC" w:rsidRDefault="00EB07EC" w:rsidP="006809AE">
            <w:pPr>
              <w:widowControl w:val="0"/>
              <w:autoSpaceDE w:val="0"/>
              <w:autoSpaceDN w:val="0"/>
              <w:adjustRightInd w:val="0"/>
              <w:jc w:val="center"/>
              <w:rPr>
                <w:rFonts w:ascii="Century Gothic" w:hAnsi="Century Gothic"/>
                <w:color w:val="000000"/>
                <w:sz w:val="20"/>
                <w:szCs w:val="20"/>
              </w:rPr>
            </w:pPr>
          </w:p>
        </w:tc>
      </w:tr>
      <w:tr w:rsidR="00EB07EC" w:rsidRPr="00F205FA" w14:paraId="14395CFA" w14:textId="16372D99" w:rsidTr="004E737C">
        <w:tc>
          <w:tcPr>
            <w:tcW w:w="409" w:type="dxa"/>
          </w:tcPr>
          <w:p w14:paraId="5611B63A"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0088AC23"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Depending on the size of the firm, is there a project group in place? Are all relevant stakeholders involved? For example, legal, compliance, risk, IT, marketing</w:t>
            </w:r>
          </w:p>
          <w:p w14:paraId="16405EC2"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3E7FFA1E" w14:textId="790374EF"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Firm is too small</w:t>
            </w:r>
          </w:p>
        </w:tc>
        <w:tc>
          <w:tcPr>
            <w:tcW w:w="3969" w:type="dxa"/>
            <w:shd w:val="clear" w:color="auto" w:fill="auto"/>
          </w:tcPr>
          <w:p w14:paraId="4EAB145F" w14:textId="21BC4FF8"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1559" w:type="dxa"/>
            <w:shd w:val="clear" w:color="auto" w:fill="auto"/>
          </w:tcPr>
          <w:p w14:paraId="05CA3FB7" w14:textId="77777777" w:rsidR="00EB07EC" w:rsidRDefault="00EB07EC" w:rsidP="00F205FA">
            <w:pPr>
              <w:widowControl w:val="0"/>
              <w:autoSpaceDE w:val="0"/>
              <w:autoSpaceDN w:val="0"/>
              <w:adjustRightInd w:val="0"/>
              <w:jc w:val="both"/>
              <w:rPr>
                <w:rFonts w:ascii="Century Gothic" w:hAnsi="Century Gothic"/>
                <w:color w:val="000000"/>
                <w:sz w:val="20"/>
                <w:szCs w:val="20"/>
              </w:rPr>
            </w:pPr>
          </w:p>
        </w:tc>
        <w:tc>
          <w:tcPr>
            <w:tcW w:w="1626" w:type="dxa"/>
            <w:shd w:val="clear" w:color="auto" w:fill="auto"/>
          </w:tcPr>
          <w:p w14:paraId="5DDD0392" w14:textId="77777777" w:rsidR="00EB07EC" w:rsidRDefault="00EB07EC" w:rsidP="00F205FA">
            <w:pPr>
              <w:widowControl w:val="0"/>
              <w:autoSpaceDE w:val="0"/>
              <w:autoSpaceDN w:val="0"/>
              <w:adjustRightInd w:val="0"/>
              <w:jc w:val="both"/>
              <w:rPr>
                <w:rFonts w:ascii="Century Gothic" w:hAnsi="Century Gothic"/>
                <w:color w:val="000000"/>
                <w:sz w:val="20"/>
                <w:szCs w:val="20"/>
              </w:rPr>
            </w:pPr>
          </w:p>
        </w:tc>
      </w:tr>
    </w:tbl>
    <w:p w14:paraId="77B09BD6"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p w14:paraId="4D5769B6" w14:textId="77777777" w:rsidR="00E80CDE" w:rsidRPr="00F205FA" w:rsidRDefault="00E80CDE" w:rsidP="00F205FA">
      <w:pPr>
        <w:widowControl w:val="0"/>
        <w:autoSpaceDE w:val="0"/>
        <w:autoSpaceDN w:val="0"/>
        <w:adjustRightInd w:val="0"/>
        <w:jc w:val="both"/>
        <w:rPr>
          <w:rFonts w:ascii="Century Gothic" w:hAnsi="Century Gothic"/>
          <w:color w:val="0E568C"/>
          <w:sz w:val="20"/>
          <w:szCs w:val="20"/>
        </w:rPr>
      </w:pPr>
      <w:r w:rsidRPr="00F205FA">
        <w:rPr>
          <w:rFonts w:ascii="Century Gothic" w:hAnsi="Century Gothic"/>
          <w:color w:val="000000"/>
          <w:sz w:val="20"/>
          <w:szCs w:val="20"/>
        </w:rPr>
        <w:t> </w:t>
      </w:r>
    </w:p>
    <w:p w14:paraId="6B14B670" w14:textId="77777777" w:rsidR="004E737C" w:rsidRDefault="004E737C" w:rsidP="00F205FA">
      <w:pPr>
        <w:widowControl w:val="0"/>
        <w:autoSpaceDE w:val="0"/>
        <w:autoSpaceDN w:val="0"/>
        <w:adjustRightInd w:val="0"/>
        <w:jc w:val="both"/>
        <w:rPr>
          <w:rFonts w:ascii="Century Gothic" w:hAnsi="Century Gothic"/>
          <w:b/>
          <w:bCs/>
        </w:rPr>
      </w:pPr>
    </w:p>
    <w:p w14:paraId="24219AB3" w14:textId="77777777" w:rsidR="004E737C" w:rsidRDefault="004E737C" w:rsidP="00F205FA">
      <w:pPr>
        <w:widowControl w:val="0"/>
        <w:autoSpaceDE w:val="0"/>
        <w:autoSpaceDN w:val="0"/>
        <w:adjustRightInd w:val="0"/>
        <w:jc w:val="both"/>
        <w:rPr>
          <w:rFonts w:ascii="Century Gothic" w:hAnsi="Century Gothic"/>
          <w:b/>
          <w:bCs/>
        </w:rPr>
      </w:pPr>
    </w:p>
    <w:p w14:paraId="415EC3D0" w14:textId="77777777" w:rsidR="004E737C" w:rsidRDefault="004E737C" w:rsidP="00F205FA">
      <w:pPr>
        <w:widowControl w:val="0"/>
        <w:autoSpaceDE w:val="0"/>
        <w:autoSpaceDN w:val="0"/>
        <w:adjustRightInd w:val="0"/>
        <w:jc w:val="both"/>
        <w:rPr>
          <w:rFonts w:ascii="Century Gothic" w:hAnsi="Century Gothic"/>
          <w:b/>
          <w:bCs/>
        </w:rPr>
      </w:pPr>
    </w:p>
    <w:p w14:paraId="71BC9986" w14:textId="77777777" w:rsidR="004E737C" w:rsidRDefault="004E737C" w:rsidP="00F205FA">
      <w:pPr>
        <w:widowControl w:val="0"/>
        <w:autoSpaceDE w:val="0"/>
        <w:autoSpaceDN w:val="0"/>
        <w:adjustRightInd w:val="0"/>
        <w:jc w:val="both"/>
        <w:rPr>
          <w:rFonts w:ascii="Century Gothic" w:hAnsi="Century Gothic"/>
          <w:b/>
          <w:bCs/>
        </w:rPr>
      </w:pPr>
    </w:p>
    <w:p w14:paraId="7F8AFC3E" w14:textId="77777777" w:rsidR="004E737C" w:rsidRDefault="004E737C" w:rsidP="00F205FA">
      <w:pPr>
        <w:widowControl w:val="0"/>
        <w:autoSpaceDE w:val="0"/>
        <w:autoSpaceDN w:val="0"/>
        <w:adjustRightInd w:val="0"/>
        <w:jc w:val="both"/>
        <w:rPr>
          <w:rFonts w:ascii="Century Gothic" w:hAnsi="Century Gothic"/>
          <w:b/>
          <w:bCs/>
        </w:rPr>
      </w:pPr>
    </w:p>
    <w:p w14:paraId="4D1A4F76" w14:textId="77777777" w:rsidR="004E737C" w:rsidRDefault="004E737C" w:rsidP="00F205FA">
      <w:pPr>
        <w:widowControl w:val="0"/>
        <w:autoSpaceDE w:val="0"/>
        <w:autoSpaceDN w:val="0"/>
        <w:adjustRightInd w:val="0"/>
        <w:jc w:val="both"/>
        <w:rPr>
          <w:rFonts w:ascii="Century Gothic" w:hAnsi="Century Gothic"/>
          <w:b/>
          <w:bCs/>
        </w:rPr>
      </w:pPr>
    </w:p>
    <w:p w14:paraId="74C4FE3F" w14:textId="77777777" w:rsidR="00F17736" w:rsidRDefault="00F17736" w:rsidP="00F205FA">
      <w:pPr>
        <w:widowControl w:val="0"/>
        <w:autoSpaceDE w:val="0"/>
        <w:autoSpaceDN w:val="0"/>
        <w:adjustRightInd w:val="0"/>
        <w:jc w:val="both"/>
        <w:rPr>
          <w:rFonts w:ascii="Century Gothic" w:hAnsi="Century Gothic"/>
          <w:b/>
          <w:bCs/>
        </w:rPr>
      </w:pPr>
    </w:p>
    <w:p w14:paraId="0A111C10" w14:textId="77777777" w:rsidR="00F17736" w:rsidRDefault="00F17736" w:rsidP="00F205FA">
      <w:pPr>
        <w:widowControl w:val="0"/>
        <w:autoSpaceDE w:val="0"/>
        <w:autoSpaceDN w:val="0"/>
        <w:adjustRightInd w:val="0"/>
        <w:jc w:val="both"/>
        <w:rPr>
          <w:rFonts w:ascii="Century Gothic" w:hAnsi="Century Gothic"/>
          <w:b/>
          <w:bCs/>
        </w:rPr>
      </w:pPr>
    </w:p>
    <w:p w14:paraId="70C3FEB5" w14:textId="77777777" w:rsidR="004E737C" w:rsidRDefault="004E737C" w:rsidP="00F205FA">
      <w:pPr>
        <w:widowControl w:val="0"/>
        <w:autoSpaceDE w:val="0"/>
        <w:autoSpaceDN w:val="0"/>
        <w:adjustRightInd w:val="0"/>
        <w:jc w:val="both"/>
        <w:rPr>
          <w:rFonts w:ascii="Century Gothic" w:hAnsi="Century Gothic"/>
          <w:b/>
          <w:bCs/>
        </w:rPr>
      </w:pPr>
    </w:p>
    <w:p w14:paraId="2D7F4675" w14:textId="4922DDD2" w:rsidR="00E80CDE" w:rsidRPr="00F92EBA" w:rsidRDefault="00E80CDE" w:rsidP="00F205FA">
      <w:pPr>
        <w:widowControl w:val="0"/>
        <w:autoSpaceDE w:val="0"/>
        <w:autoSpaceDN w:val="0"/>
        <w:adjustRightInd w:val="0"/>
        <w:jc w:val="both"/>
        <w:rPr>
          <w:rFonts w:ascii="Century Gothic" w:hAnsi="Century Gothic"/>
          <w:b/>
          <w:bCs/>
          <w:shd w:val="clear" w:color="auto" w:fill="FFFFFF"/>
        </w:rPr>
      </w:pPr>
      <w:r w:rsidRPr="00F92EBA">
        <w:rPr>
          <w:rFonts w:ascii="Century Gothic" w:hAnsi="Century Gothic"/>
          <w:b/>
          <w:bCs/>
        </w:rPr>
        <w:t>Applicability of consumer duty</w:t>
      </w:r>
    </w:p>
    <w:p w14:paraId="06BEBA18"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5DF5D80D"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It is essential that firms establish which parts of the business the new consumer duty will apply to:</w:t>
      </w:r>
    </w:p>
    <w:p w14:paraId="3B6E4071"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tbl>
      <w:tblPr>
        <w:tblStyle w:val="TableGrid"/>
        <w:tblW w:w="13670" w:type="dxa"/>
        <w:tblLook w:val="04A0" w:firstRow="1" w:lastRow="0" w:firstColumn="1" w:lastColumn="0" w:noHBand="0" w:noVBand="1"/>
      </w:tblPr>
      <w:tblGrid>
        <w:gridCol w:w="422"/>
        <w:gridCol w:w="3968"/>
        <w:gridCol w:w="3118"/>
        <w:gridCol w:w="2977"/>
        <w:gridCol w:w="1559"/>
        <w:gridCol w:w="1626"/>
      </w:tblGrid>
      <w:tr w:rsidR="00EB07EC" w:rsidRPr="00F92EBA" w14:paraId="78B2CE76" w14:textId="4E61B030" w:rsidTr="00D22D5F">
        <w:tc>
          <w:tcPr>
            <w:tcW w:w="422" w:type="dxa"/>
            <w:shd w:val="clear" w:color="auto" w:fill="009193"/>
          </w:tcPr>
          <w:p w14:paraId="0FAB011A"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p>
        </w:tc>
        <w:tc>
          <w:tcPr>
            <w:tcW w:w="3968" w:type="dxa"/>
            <w:shd w:val="clear" w:color="auto" w:fill="009193"/>
          </w:tcPr>
          <w:p w14:paraId="2E55F1F4"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3118" w:type="dxa"/>
            <w:shd w:val="clear" w:color="auto" w:fill="009193"/>
          </w:tcPr>
          <w:p w14:paraId="322FD743"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2977" w:type="dxa"/>
            <w:shd w:val="clear" w:color="auto" w:fill="009193"/>
          </w:tcPr>
          <w:p w14:paraId="7061F2F7"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1559" w:type="dxa"/>
            <w:shd w:val="clear" w:color="auto" w:fill="009193"/>
          </w:tcPr>
          <w:p w14:paraId="6647DDBA" w14:textId="6FEC4DE2"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1626" w:type="dxa"/>
            <w:shd w:val="clear" w:color="auto" w:fill="009193"/>
          </w:tcPr>
          <w:p w14:paraId="14B10DDD" w14:textId="5774DC06"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EB07EC" w:rsidRPr="00F205FA" w14:paraId="19A06BE6" w14:textId="676D8464" w:rsidTr="00D22D5F">
        <w:tc>
          <w:tcPr>
            <w:tcW w:w="422" w:type="dxa"/>
          </w:tcPr>
          <w:p w14:paraId="7EA771E2"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968" w:type="dxa"/>
          </w:tcPr>
          <w:p w14:paraId="78C8F664" w14:textId="77777777" w:rsidR="00EB07EC" w:rsidRPr="00F205FA" w:rsidRDefault="00EB07EC" w:rsidP="00EB07EC">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determined which of its products/services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apply to? It is important to note that the requirements apply to closed products that may be in run-off, as well as current products. For advisers this means products it advises on (e.g., pre RDR insurance products).</w:t>
            </w:r>
          </w:p>
        </w:tc>
        <w:tc>
          <w:tcPr>
            <w:tcW w:w="3118" w:type="dxa"/>
          </w:tcPr>
          <w:p w14:paraId="50A14DF1" w14:textId="51676D2E"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All</w:t>
            </w:r>
          </w:p>
        </w:tc>
        <w:tc>
          <w:tcPr>
            <w:tcW w:w="2977" w:type="dxa"/>
            <w:shd w:val="clear" w:color="auto" w:fill="auto"/>
          </w:tcPr>
          <w:p w14:paraId="5737FAE1" w14:textId="0B2C6016"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1559" w:type="dxa"/>
            <w:shd w:val="clear" w:color="auto" w:fill="auto"/>
          </w:tcPr>
          <w:p w14:paraId="4693E98E"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auto"/>
          </w:tcPr>
          <w:p w14:paraId="6F7CD780"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r w:rsidR="00EB07EC" w:rsidRPr="00F205FA" w14:paraId="7C9EFF02" w14:textId="23644E46" w:rsidTr="00D22D5F">
        <w:tc>
          <w:tcPr>
            <w:tcW w:w="422" w:type="dxa"/>
          </w:tcPr>
          <w:p w14:paraId="3A580815"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968" w:type="dxa"/>
          </w:tcPr>
          <w:p w14:paraId="5E3AE9F0" w14:textId="77777777" w:rsidR="00EB07EC" w:rsidRPr="00F205FA" w:rsidRDefault="00EB07EC" w:rsidP="00EB07EC">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If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not apply to all products/services, has the firm considered whether it wishes to extend its application to </w:t>
            </w:r>
            <w:proofErr w:type="gramStart"/>
            <w:r w:rsidRPr="00F205FA">
              <w:rPr>
                <w:rFonts w:ascii="Century Gothic" w:hAnsi="Century Gothic"/>
                <w:color w:val="000000"/>
                <w:sz w:val="20"/>
                <w:szCs w:val="20"/>
              </w:rPr>
              <w:t>all of</w:t>
            </w:r>
            <w:proofErr w:type="gramEnd"/>
            <w:r w:rsidRPr="00F205FA">
              <w:rPr>
                <w:rFonts w:ascii="Century Gothic" w:hAnsi="Century Gothic"/>
                <w:color w:val="000000"/>
                <w:sz w:val="20"/>
                <w:szCs w:val="20"/>
              </w:rPr>
              <w:t xml:space="preserve"> its products/services? The firm might decide that, for logistical reasons, it is preferable to do this.</w:t>
            </w:r>
          </w:p>
          <w:p w14:paraId="152D9400"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If a firm has retail and non-retail customers, will it have a process in place for ensuring that it correctly identifies products/services that fall within the scope of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How will the process work?</w:t>
            </w:r>
          </w:p>
          <w:p w14:paraId="1093887D"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3118" w:type="dxa"/>
          </w:tcPr>
          <w:p w14:paraId="06E7D7A4" w14:textId="7F2BD2F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All clients will fall into scope</w:t>
            </w:r>
          </w:p>
        </w:tc>
        <w:tc>
          <w:tcPr>
            <w:tcW w:w="2977" w:type="dxa"/>
            <w:shd w:val="clear" w:color="auto" w:fill="auto"/>
          </w:tcPr>
          <w:p w14:paraId="074852D9" w14:textId="406EE9E2"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1559" w:type="dxa"/>
            <w:shd w:val="clear" w:color="auto" w:fill="auto"/>
          </w:tcPr>
          <w:p w14:paraId="7AB59F18"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auto"/>
          </w:tcPr>
          <w:p w14:paraId="5A1BA82C"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r w:rsidR="00EB07EC" w:rsidRPr="00F205FA" w14:paraId="19426A1C" w14:textId="720F8A88" w:rsidTr="00D22D5F">
        <w:tc>
          <w:tcPr>
            <w:tcW w:w="422" w:type="dxa"/>
          </w:tcPr>
          <w:p w14:paraId="7AA9E80F"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968" w:type="dxa"/>
          </w:tcPr>
          <w:p w14:paraId="63387CDC"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Does the firm intend to embrace all retail clients? Note that even if firms do not have a direct contractual relationship with the client (e.g., not receiving ongoing fees / commissions)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still apply.</w:t>
            </w:r>
          </w:p>
          <w:p w14:paraId="091AF60B"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3118" w:type="dxa"/>
          </w:tcPr>
          <w:p w14:paraId="6A5DA99C" w14:textId="63D9508D"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Yes: we have taken the view that those clients who received discrete, transactional advice are no longer clients, and we have no ongoing responsibility, nor </w:t>
            </w:r>
            <w:r>
              <w:rPr>
                <w:rFonts w:ascii="Century Gothic" w:hAnsi="Century Gothic"/>
                <w:color w:val="000000"/>
                <w:sz w:val="20"/>
                <w:szCs w:val="20"/>
              </w:rPr>
              <w:lastRenderedPageBreak/>
              <w:t xml:space="preserve">is one expected. If these ex-clients approach </w:t>
            </w:r>
            <w:proofErr w:type="gramStart"/>
            <w:r>
              <w:rPr>
                <w:rFonts w:ascii="Century Gothic" w:hAnsi="Century Gothic"/>
                <w:color w:val="000000"/>
                <w:sz w:val="20"/>
                <w:szCs w:val="20"/>
              </w:rPr>
              <w:t>us</w:t>
            </w:r>
            <w:proofErr w:type="gramEnd"/>
            <w:r>
              <w:rPr>
                <w:rFonts w:ascii="Century Gothic" w:hAnsi="Century Gothic"/>
                <w:color w:val="000000"/>
                <w:sz w:val="20"/>
                <w:szCs w:val="20"/>
              </w:rPr>
              <w:t xml:space="preserve"> we will treat them as in scope at that time.</w:t>
            </w:r>
          </w:p>
        </w:tc>
        <w:tc>
          <w:tcPr>
            <w:tcW w:w="2977" w:type="dxa"/>
            <w:shd w:val="clear" w:color="auto" w:fill="auto"/>
          </w:tcPr>
          <w:p w14:paraId="2640A68E" w14:textId="7A0F5E49"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1559" w:type="dxa"/>
            <w:shd w:val="clear" w:color="auto" w:fill="auto"/>
          </w:tcPr>
          <w:p w14:paraId="77A47464"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auto"/>
          </w:tcPr>
          <w:p w14:paraId="5942687C"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bl>
    <w:p w14:paraId="63E38D1A" w14:textId="0D4C324F" w:rsidR="00EB07EC" w:rsidRPr="00F205FA" w:rsidRDefault="00EB07EC" w:rsidP="004E737C">
      <w:pPr>
        <w:widowControl w:val="0"/>
        <w:autoSpaceDE w:val="0"/>
        <w:autoSpaceDN w:val="0"/>
        <w:adjustRightInd w:val="0"/>
        <w:jc w:val="both"/>
        <w:rPr>
          <w:rFonts w:ascii="Century Gothic" w:hAnsi="Century Gothic"/>
          <w:color w:val="000000"/>
          <w:sz w:val="20"/>
          <w:szCs w:val="20"/>
        </w:rPr>
      </w:pPr>
    </w:p>
    <w:p w14:paraId="5E6A9A8E" w14:textId="77777777" w:rsidR="00E80CDE" w:rsidRPr="00F92EBA" w:rsidRDefault="00E80CDE" w:rsidP="00F205FA">
      <w:pPr>
        <w:widowControl w:val="0"/>
        <w:autoSpaceDE w:val="0"/>
        <w:autoSpaceDN w:val="0"/>
        <w:adjustRightInd w:val="0"/>
        <w:jc w:val="both"/>
        <w:rPr>
          <w:rFonts w:ascii="Century Gothic" w:hAnsi="Century Gothic"/>
          <w:b/>
          <w:bCs/>
          <w:sz w:val="28"/>
          <w:szCs w:val="28"/>
        </w:rPr>
      </w:pPr>
      <w:r w:rsidRPr="00F92EBA">
        <w:rPr>
          <w:rFonts w:ascii="Century Gothic" w:hAnsi="Century Gothic"/>
          <w:b/>
          <w:bCs/>
          <w:sz w:val="28"/>
          <w:szCs w:val="28"/>
        </w:rPr>
        <w:t>Achieving consumer duty’s four outcomes</w:t>
      </w:r>
    </w:p>
    <w:p w14:paraId="3AB82F00"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46EFDEAD"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There are three elements to the consumer duty, </w:t>
      </w:r>
    </w:p>
    <w:p w14:paraId="7B3E7E37"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Element 1: the “four outcomes”</w:t>
      </w:r>
    </w:p>
    <w:p w14:paraId="277D0F59"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Element 2: the consumer principle, which requires firms to “act to deliver good outcomes for retail customers” and</w:t>
      </w:r>
    </w:p>
    <w:p w14:paraId="03C29D7B"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Element 3: the cross-cutting rules </w:t>
      </w:r>
    </w:p>
    <w:p w14:paraId="5C202A7C"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590AB6BB" w14:textId="5E35D714" w:rsidR="00E80CDE" w:rsidRDefault="00E80CDE" w:rsidP="00F205FA">
      <w:pPr>
        <w:widowControl w:val="0"/>
        <w:autoSpaceDE w:val="0"/>
        <w:autoSpaceDN w:val="0"/>
        <w:adjustRightInd w:val="0"/>
        <w:spacing w:before="160"/>
        <w:jc w:val="both"/>
        <w:rPr>
          <w:rFonts w:ascii="Century Gothic" w:hAnsi="Century Gothic"/>
          <w:sz w:val="22"/>
          <w:szCs w:val="22"/>
        </w:rPr>
      </w:pPr>
      <w:r w:rsidRPr="00F205FA">
        <w:rPr>
          <w:rFonts w:ascii="Century Gothic" w:hAnsi="Century Gothic"/>
          <w:sz w:val="22"/>
          <w:szCs w:val="22"/>
        </w:rPr>
        <w:t>Element 1: Four Outcomes</w:t>
      </w:r>
    </w:p>
    <w:p w14:paraId="5289039D" w14:textId="77777777" w:rsidR="00F92EBA" w:rsidRPr="00F205FA" w:rsidRDefault="00F92EBA" w:rsidP="00F205FA">
      <w:pPr>
        <w:widowControl w:val="0"/>
        <w:autoSpaceDE w:val="0"/>
        <w:autoSpaceDN w:val="0"/>
        <w:adjustRightInd w:val="0"/>
        <w:spacing w:before="160"/>
        <w:jc w:val="both"/>
        <w:rPr>
          <w:rFonts w:ascii="Century Gothic" w:hAnsi="Century Gothic"/>
          <w:sz w:val="22"/>
          <w:szCs w:val="22"/>
        </w:rPr>
      </w:pPr>
    </w:p>
    <w:p w14:paraId="0B10FC0E"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four outcomes consist of a suite of rules and guidance setting more detailed expectations for firms’ conduct in the following areas:</w:t>
      </w:r>
    </w:p>
    <w:p w14:paraId="25A24994"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5DED77D9" w14:textId="77777777" w:rsidR="00E80CDE" w:rsidRPr="00F205FA" w:rsidRDefault="00E80CDE" w:rsidP="00F205FA">
      <w:pPr>
        <w:widowControl w:val="0"/>
        <w:numPr>
          <w:ilvl w:val="0"/>
          <w:numId w:val="1"/>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Quality of products and services.</w:t>
      </w:r>
    </w:p>
    <w:p w14:paraId="7A1BABCD" w14:textId="77777777" w:rsidR="00E80CDE" w:rsidRPr="00F205FA" w:rsidRDefault="00E80CDE" w:rsidP="00F205FA">
      <w:pPr>
        <w:widowControl w:val="0"/>
        <w:numPr>
          <w:ilvl w:val="0"/>
          <w:numId w:val="2"/>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Price and value of products and services.</w:t>
      </w:r>
    </w:p>
    <w:p w14:paraId="129ACDDD" w14:textId="77777777" w:rsidR="00E80CDE" w:rsidRPr="00F205FA" w:rsidRDefault="00E80CDE" w:rsidP="00F205FA">
      <w:pPr>
        <w:widowControl w:val="0"/>
        <w:numPr>
          <w:ilvl w:val="0"/>
          <w:numId w:val="3"/>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Consumer understanding.</w:t>
      </w:r>
    </w:p>
    <w:p w14:paraId="57D84A76" w14:textId="77777777" w:rsidR="00E80CDE" w:rsidRPr="00F205FA" w:rsidRDefault="00E80CDE" w:rsidP="00F205FA">
      <w:pPr>
        <w:widowControl w:val="0"/>
        <w:numPr>
          <w:ilvl w:val="0"/>
          <w:numId w:val="4"/>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Consumer support.</w:t>
      </w:r>
      <w:bookmarkStart w:id="0" w:name="co_anchor_a625868_1"/>
      <w:bookmarkEnd w:id="0"/>
    </w:p>
    <w:p w14:paraId="519BCB8C" w14:textId="77777777" w:rsidR="00F92EBA" w:rsidRDefault="00F92EBA" w:rsidP="00F205FA">
      <w:pPr>
        <w:widowControl w:val="0"/>
        <w:autoSpaceDE w:val="0"/>
        <w:autoSpaceDN w:val="0"/>
        <w:adjustRightInd w:val="0"/>
        <w:spacing w:before="160"/>
        <w:jc w:val="both"/>
        <w:rPr>
          <w:rFonts w:ascii="Century Gothic" w:hAnsi="Century Gothic"/>
          <w:sz w:val="22"/>
          <w:szCs w:val="22"/>
        </w:rPr>
      </w:pPr>
    </w:p>
    <w:p w14:paraId="1FAD6D08" w14:textId="7F9D5391" w:rsidR="00E80CDE" w:rsidRPr="00F205FA" w:rsidRDefault="00E80CDE" w:rsidP="00F205FA">
      <w:pPr>
        <w:widowControl w:val="0"/>
        <w:autoSpaceDE w:val="0"/>
        <w:autoSpaceDN w:val="0"/>
        <w:adjustRightInd w:val="0"/>
        <w:spacing w:before="160"/>
        <w:jc w:val="both"/>
        <w:rPr>
          <w:rFonts w:ascii="Century Gothic" w:hAnsi="Century Gothic"/>
          <w:sz w:val="22"/>
          <w:szCs w:val="22"/>
        </w:rPr>
      </w:pPr>
      <w:r w:rsidRPr="00F205FA">
        <w:rPr>
          <w:rFonts w:ascii="Century Gothic" w:hAnsi="Century Gothic"/>
          <w:sz w:val="22"/>
          <w:szCs w:val="22"/>
        </w:rPr>
        <w:t>Element 2: Cross-cutting rules</w:t>
      </w:r>
    </w:p>
    <w:p w14:paraId="24076B7A" w14:textId="77777777" w:rsidR="00F92EBA" w:rsidRDefault="00F92EBA" w:rsidP="00F205FA">
      <w:pPr>
        <w:widowControl w:val="0"/>
        <w:autoSpaceDE w:val="0"/>
        <w:autoSpaceDN w:val="0"/>
        <w:adjustRightInd w:val="0"/>
        <w:jc w:val="both"/>
        <w:rPr>
          <w:rFonts w:ascii="Century Gothic" w:hAnsi="Century Gothic"/>
          <w:sz w:val="22"/>
          <w:szCs w:val="22"/>
        </w:rPr>
      </w:pPr>
    </w:p>
    <w:p w14:paraId="5B3C8F6A" w14:textId="13C5BD9A"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The cross-cutting rules, which consist of firms acting in good faith, avoiding foreseeable </w:t>
      </w:r>
      <w:proofErr w:type="gramStart"/>
      <w:r w:rsidRPr="00F205FA">
        <w:rPr>
          <w:rFonts w:ascii="Century Gothic" w:hAnsi="Century Gothic"/>
          <w:sz w:val="22"/>
          <w:szCs w:val="22"/>
        </w:rPr>
        <w:t>harm</w:t>
      </w:r>
      <w:proofErr w:type="gramEnd"/>
      <w:r w:rsidRPr="00F205FA">
        <w:rPr>
          <w:rFonts w:ascii="Century Gothic" w:hAnsi="Century Gothic"/>
          <w:sz w:val="22"/>
          <w:szCs w:val="22"/>
        </w:rPr>
        <w:t xml:space="preserve"> and enabling and supporting retail customers to pursue their financial objectives, work together. Therefore, there is a significant degree of overlap when considering issues relating to the cross-cutting rules.</w:t>
      </w:r>
    </w:p>
    <w:p w14:paraId="3D56C899"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55A6F6C"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For example, </w:t>
      </w:r>
      <w:proofErr w:type="gramStart"/>
      <w:r w:rsidRPr="00F205FA">
        <w:rPr>
          <w:rFonts w:ascii="Century Gothic" w:hAnsi="Century Gothic"/>
          <w:sz w:val="22"/>
          <w:szCs w:val="22"/>
        </w:rPr>
        <w:t>with regard to</w:t>
      </w:r>
      <w:proofErr w:type="gramEnd"/>
      <w:r w:rsidRPr="00F205FA">
        <w:rPr>
          <w:rFonts w:ascii="Century Gothic" w:hAnsi="Century Gothic"/>
          <w:sz w:val="22"/>
          <w:szCs w:val="22"/>
        </w:rPr>
        <w:t xml:space="preserve"> the price and fair value outcome, customers experience harm when they do not get value for money. A lack of fair value therefore causes harm and is unlikely to be consistent with customers realising their financial objectives. Firms cannot act in good faith if they are knowingly selling poor value products or services.</w:t>
      </w:r>
    </w:p>
    <w:p w14:paraId="397153E8"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BACC4AC"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sections below set out some of the issues firms need to consider in relation to implementing the four outcomes when measured against each of the three cross-cutting rules in turn.</w:t>
      </w:r>
    </w:p>
    <w:p w14:paraId="3E01C8B6"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lastRenderedPageBreak/>
        <w:t> </w:t>
      </w:r>
    </w:p>
    <w:p w14:paraId="657DB9DE" w14:textId="77777777" w:rsidR="00E80CDE" w:rsidRDefault="00E80CDE" w:rsidP="00F205FA">
      <w:pPr>
        <w:widowControl w:val="0"/>
        <w:autoSpaceDE w:val="0"/>
        <w:autoSpaceDN w:val="0"/>
        <w:adjustRightInd w:val="0"/>
        <w:jc w:val="both"/>
        <w:rPr>
          <w:rFonts w:ascii="Century Gothic" w:hAnsi="Century Gothic"/>
          <w:sz w:val="22"/>
          <w:szCs w:val="22"/>
        </w:rPr>
      </w:pPr>
    </w:p>
    <w:p w14:paraId="5BB0816F" w14:textId="77777777" w:rsidR="004E737C" w:rsidRDefault="004E737C" w:rsidP="00F205FA">
      <w:pPr>
        <w:widowControl w:val="0"/>
        <w:autoSpaceDE w:val="0"/>
        <w:autoSpaceDN w:val="0"/>
        <w:adjustRightInd w:val="0"/>
        <w:jc w:val="both"/>
        <w:rPr>
          <w:rFonts w:ascii="Century Gothic" w:hAnsi="Century Gothic"/>
          <w:sz w:val="22"/>
          <w:szCs w:val="22"/>
        </w:rPr>
      </w:pPr>
    </w:p>
    <w:p w14:paraId="1205F7D5" w14:textId="77777777" w:rsidR="004E737C" w:rsidRPr="00F205FA" w:rsidRDefault="004E737C" w:rsidP="00F205FA">
      <w:pPr>
        <w:widowControl w:val="0"/>
        <w:autoSpaceDE w:val="0"/>
        <w:autoSpaceDN w:val="0"/>
        <w:adjustRightInd w:val="0"/>
        <w:jc w:val="both"/>
        <w:rPr>
          <w:rFonts w:ascii="Century Gothic" w:hAnsi="Century Gothic"/>
          <w:sz w:val="22"/>
          <w:szCs w:val="22"/>
        </w:rPr>
      </w:pPr>
    </w:p>
    <w:p w14:paraId="01F1A89E" w14:textId="77777777" w:rsidR="00E80CDE" w:rsidRPr="00F92EBA" w:rsidRDefault="00E80CDE" w:rsidP="00F205FA">
      <w:pPr>
        <w:widowControl w:val="0"/>
        <w:autoSpaceDE w:val="0"/>
        <w:autoSpaceDN w:val="0"/>
        <w:adjustRightInd w:val="0"/>
        <w:jc w:val="both"/>
        <w:rPr>
          <w:rFonts w:ascii="Century Gothic" w:hAnsi="Century Gothic"/>
          <w:b/>
          <w:bCs/>
          <w:sz w:val="28"/>
          <w:szCs w:val="28"/>
        </w:rPr>
      </w:pPr>
      <w:r w:rsidRPr="00F92EBA">
        <w:rPr>
          <w:rFonts w:ascii="Century Gothic" w:hAnsi="Century Gothic"/>
          <w:b/>
          <w:bCs/>
          <w:sz w:val="28"/>
          <w:szCs w:val="28"/>
        </w:rPr>
        <w:t>Basis of the checklist:</w:t>
      </w:r>
    </w:p>
    <w:p w14:paraId="2EDE5B2A" w14:textId="77777777" w:rsidR="00E80CDE" w:rsidRPr="00F205FA" w:rsidRDefault="00E80CDE" w:rsidP="00F205FA">
      <w:pPr>
        <w:widowControl w:val="0"/>
        <w:autoSpaceDE w:val="0"/>
        <w:autoSpaceDN w:val="0"/>
        <w:adjustRightInd w:val="0"/>
        <w:jc w:val="both"/>
        <w:rPr>
          <w:rFonts w:ascii="Century Gothic" w:hAnsi="Century Gothic"/>
          <w:sz w:val="20"/>
          <w:szCs w:val="20"/>
        </w:rPr>
      </w:pPr>
    </w:p>
    <w:p w14:paraId="235C22B8"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For </w:t>
      </w:r>
      <w:r w:rsidRPr="00F92EBA">
        <w:rPr>
          <w:rFonts w:ascii="Century Gothic" w:hAnsi="Century Gothic"/>
          <w:sz w:val="22"/>
          <w:szCs w:val="22"/>
        </w:rPr>
        <w:t xml:space="preserve">ease of reference, and because the </w:t>
      </w:r>
      <w:proofErr w:type="gramStart"/>
      <w:r w:rsidRPr="00F92EBA">
        <w:rPr>
          <w:rFonts w:ascii="Century Gothic" w:hAnsi="Century Gothic"/>
          <w:sz w:val="22"/>
          <w:szCs w:val="22"/>
        </w:rPr>
        <w:t>cross cutting</w:t>
      </w:r>
      <w:proofErr w:type="gramEnd"/>
      <w:r w:rsidRPr="00F92EBA">
        <w:rPr>
          <w:rFonts w:ascii="Century Gothic" w:hAnsi="Century Gothic"/>
          <w:sz w:val="22"/>
          <w:szCs w:val="22"/>
        </w:rPr>
        <w:t xml:space="preserve"> rules impact each of the four outcomes, we have designed this checklist by dividing it into the each of the four outcomes, and applied the cross cutting rules to each.</w:t>
      </w:r>
    </w:p>
    <w:p w14:paraId="20ACA9C3" w14:textId="77777777" w:rsidR="00E80CDE" w:rsidRPr="00F92EBA" w:rsidRDefault="00E80CDE" w:rsidP="00F205FA">
      <w:pPr>
        <w:widowControl w:val="0"/>
        <w:autoSpaceDE w:val="0"/>
        <w:autoSpaceDN w:val="0"/>
        <w:adjustRightInd w:val="0"/>
        <w:jc w:val="both"/>
        <w:rPr>
          <w:rFonts w:ascii="Century Gothic" w:hAnsi="Century Gothic"/>
          <w:sz w:val="22"/>
          <w:szCs w:val="22"/>
        </w:rPr>
      </w:pPr>
    </w:p>
    <w:p w14:paraId="1AF96B2B" w14:textId="77777777" w:rsidR="00E80CDE" w:rsidRPr="00F92EBA" w:rsidRDefault="00E80CDE" w:rsidP="00F205FA">
      <w:pPr>
        <w:widowControl w:val="0"/>
        <w:autoSpaceDE w:val="0"/>
        <w:autoSpaceDN w:val="0"/>
        <w:adjustRightInd w:val="0"/>
        <w:jc w:val="both"/>
        <w:rPr>
          <w:rFonts w:ascii="Century Gothic" w:hAnsi="Century Gothic"/>
          <w:b/>
          <w:bCs/>
          <w:sz w:val="22"/>
          <w:szCs w:val="22"/>
        </w:rPr>
      </w:pPr>
      <w:r w:rsidRPr="00F92EBA">
        <w:rPr>
          <w:rFonts w:ascii="Century Gothic" w:hAnsi="Century Gothic"/>
          <w:b/>
          <w:bCs/>
          <w:sz w:val="22"/>
          <w:szCs w:val="22"/>
        </w:rPr>
        <w:t>Outcome 1: Quality of products and services</w:t>
      </w:r>
    </w:p>
    <w:p w14:paraId="6D91157A"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71F1E6BF"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The questions in this section are based on information in Chapter 5 of the FCA non-Handbook guidance in Appendix 2 to </w:t>
      </w:r>
      <w:hyperlink r:id="rId9" w:history="1">
        <w:r w:rsidRPr="00F92EBA">
          <w:rPr>
            <w:rFonts w:ascii="Century Gothic" w:hAnsi="Century Gothic"/>
            <w:i/>
            <w:iCs/>
            <w:sz w:val="22"/>
            <w:szCs w:val="22"/>
          </w:rPr>
          <w:t>CP21/36</w:t>
        </w:r>
      </w:hyperlink>
      <w:r w:rsidRPr="00F92EBA">
        <w:rPr>
          <w:rFonts w:ascii="Century Gothic" w:hAnsi="Century Gothic"/>
          <w:sz w:val="22"/>
          <w:szCs w:val="22"/>
        </w:rPr>
        <w:t>.</w:t>
      </w:r>
    </w:p>
    <w:p w14:paraId="682E3049" w14:textId="42823633" w:rsidR="00E80CDE"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18661DDE" w14:textId="77777777" w:rsidR="00F92EBA" w:rsidRPr="00F92EBA" w:rsidRDefault="00F92EBA" w:rsidP="00F92EBA">
      <w:pPr>
        <w:widowControl w:val="0"/>
        <w:autoSpaceDE w:val="0"/>
        <w:autoSpaceDN w:val="0"/>
        <w:adjustRightInd w:val="0"/>
        <w:jc w:val="both"/>
        <w:rPr>
          <w:rFonts w:ascii="Century Gothic" w:hAnsi="Century Gothic"/>
          <w:sz w:val="22"/>
          <w:szCs w:val="22"/>
        </w:rPr>
      </w:pPr>
    </w:p>
    <w:p w14:paraId="4EFF46F2"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3251975E" w14:textId="77777777" w:rsidR="00E80CDE" w:rsidRPr="00F205F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0"/>
        <w:gridCol w:w="3013"/>
        <w:gridCol w:w="3366"/>
        <w:gridCol w:w="3543"/>
        <w:gridCol w:w="1701"/>
        <w:gridCol w:w="1627"/>
      </w:tblGrid>
      <w:tr w:rsidR="004774A0" w:rsidRPr="00F205FA" w14:paraId="2994952E" w14:textId="388C136F" w:rsidTr="008071B5">
        <w:tc>
          <w:tcPr>
            <w:tcW w:w="154" w:type="pct"/>
            <w:shd w:val="clear" w:color="auto" w:fill="009193"/>
          </w:tcPr>
          <w:p w14:paraId="7F28C8BC"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0"/>
                <w:szCs w:val="20"/>
              </w:rPr>
            </w:pPr>
          </w:p>
        </w:tc>
        <w:tc>
          <w:tcPr>
            <w:tcW w:w="1102" w:type="pct"/>
            <w:shd w:val="clear" w:color="auto" w:fill="009193"/>
          </w:tcPr>
          <w:p w14:paraId="5AA9E176"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1" w:type="pct"/>
            <w:shd w:val="clear" w:color="auto" w:fill="009193"/>
          </w:tcPr>
          <w:p w14:paraId="423B4DCC"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78247475"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445E53BB" w14:textId="6AA204B2"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95" w:type="pct"/>
            <w:shd w:val="clear" w:color="auto" w:fill="009193"/>
          </w:tcPr>
          <w:p w14:paraId="70D24A49" w14:textId="649B0BF6"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1C0D8B52" w14:textId="4E78BEDE" w:rsidTr="004E737C">
        <w:tc>
          <w:tcPr>
            <w:tcW w:w="154" w:type="pct"/>
          </w:tcPr>
          <w:p w14:paraId="442BD61C"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60C1C630"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determined which of its products/services the consumer duty will apply to? It is important to note that the requirements apply to closed products that may be in run-off, as well as current products. For advisers this means products it advises on (e.g., pre RDR insurance products).</w:t>
            </w:r>
          </w:p>
        </w:tc>
        <w:tc>
          <w:tcPr>
            <w:tcW w:w="1231" w:type="pct"/>
          </w:tcPr>
          <w:p w14:paraId="04DD0D5C" w14:textId="6B39CCCA"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we will assume all – our financial planning approach has always been to holistically assume all products are included for planning purposes</w:t>
            </w:r>
          </w:p>
        </w:tc>
        <w:tc>
          <w:tcPr>
            <w:tcW w:w="1296" w:type="pct"/>
            <w:shd w:val="clear" w:color="auto" w:fill="auto"/>
          </w:tcPr>
          <w:p w14:paraId="2F5647CF" w14:textId="658AC944"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622" w:type="pct"/>
            <w:shd w:val="clear" w:color="auto" w:fill="auto"/>
          </w:tcPr>
          <w:p w14:paraId="49D25BD3"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auto"/>
          </w:tcPr>
          <w:p w14:paraId="093F174E"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466D43C1" w14:textId="546DB7D8" w:rsidTr="004E737C">
        <w:tc>
          <w:tcPr>
            <w:tcW w:w="154" w:type="pct"/>
          </w:tcPr>
          <w:p w14:paraId="4EA68854"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65C8D98D"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If the consumer duty will not apply to all products/services, has the firm considered whether it wishes to extend its application to </w:t>
            </w:r>
            <w:proofErr w:type="gramStart"/>
            <w:r w:rsidRPr="00F205FA">
              <w:rPr>
                <w:rFonts w:ascii="Century Gothic" w:hAnsi="Century Gothic"/>
                <w:sz w:val="20"/>
                <w:szCs w:val="20"/>
              </w:rPr>
              <w:t>all of</w:t>
            </w:r>
            <w:proofErr w:type="gramEnd"/>
            <w:r w:rsidRPr="00F205FA">
              <w:rPr>
                <w:rFonts w:ascii="Century Gothic" w:hAnsi="Century Gothic"/>
                <w:sz w:val="20"/>
                <w:szCs w:val="20"/>
              </w:rPr>
              <w:t xml:space="preserve"> its products/services? The firm might decide that, for </w:t>
            </w:r>
            <w:r w:rsidRPr="00F205FA">
              <w:rPr>
                <w:rFonts w:ascii="Century Gothic" w:hAnsi="Century Gothic"/>
                <w:sz w:val="20"/>
                <w:szCs w:val="20"/>
              </w:rPr>
              <w:lastRenderedPageBreak/>
              <w:t>logistical reasons, it is preferable to do this.</w:t>
            </w:r>
          </w:p>
          <w:p w14:paraId="654EEAA9"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If a firm has retail and non-retail customers, will it have a process in place for ensuring that it correctly identifies products/services that fall within the scope of the consumer duty? How will the process work?</w:t>
            </w:r>
          </w:p>
          <w:p w14:paraId="1F8D3993"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07E690A0" w14:textId="6BFA8B14"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N/A</w:t>
            </w:r>
          </w:p>
        </w:tc>
        <w:tc>
          <w:tcPr>
            <w:tcW w:w="1296" w:type="pct"/>
            <w:shd w:val="clear" w:color="auto" w:fill="auto"/>
          </w:tcPr>
          <w:p w14:paraId="334703E5" w14:textId="185817C9"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622" w:type="pct"/>
            <w:shd w:val="clear" w:color="auto" w:fill="auto"/>
          </w:tcPr>
          <w:p w14:paraId="3BC3463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auto"/>
          </w:tcPr>
          <w:p w14:paraId="1032AF44"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0F2A3E95" w14:textId="037A765C" w:rsidTr="004E737C">
        <w:tc>
          <w:tcPr>
            <w:tcW w:w="154" w:type="pct"/>
          </w:tcPr>
          <w:p w14:paraId="68CD1B9A"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1FA8D0A5"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Does the firm intend to embrace all retail clients? Note that even if firms do not have a direct contractual relationship with the client (e.g., not receiving ongoing fees / commissions) the consumer duty will still apply.</w:t>
            </w:r>
          </w:p>
          <w:p w14:paraId="2A58FA6C"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328BC8B8" w14:textId="78FD1A94"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See 6 above</w:t>
            </w:r>
          </w:p>
        </w:tc>
        <w:tc>
          <w:tcPr>
            <w:tcW w:w="1296" w:type="pct"/>
            <w:shd w:val="clear" w:color="auto" w:fill="auto"/>
          </w:tcPr>
          <w:p w14:paraId="379FF943" w14:textId="06954AF2"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622" w:type="pct"/>
            <w:shd w:val="clear" w:color="auto" w:fill="auto"/>
          </w:tcPr>
          <w:p w14:paraId="557E84E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auto"/>
          </w:tcPr>
          <w:p w14:paraId="0C1B52CF"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5E8AA6E7" w14:textId="0F448932" w:rsidTr="004E737C">
        <w:tc>
          <w:tcPr>
            <w:tcW w:w="154" w:type="pct"/>
          </w:tcPr>
          <w:p w14:paraId="62AF994B"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0598B0CF"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xml:space="preserve">Has the firm carried out (or is it intending to carry out) a gap analysis on </w:t>
            </w:r>
            <w:proofErr w:type="gramStart"/>
            <w:r w:rsidRPr="00F205FA">
              <w:rPr>
                <w:rFonts w:ascii="Century Gothic" w:hAnsi="Century Gothic"/>
                <w:sz w:val="20"/>
                <w:szCs w:val="20"/>
              </w:rPr>
              <w:t>all of</w:t>
            </w:r>
            <w:proofErr w:type="gramEnd"/>
            <w:r w:rsidRPr="00F205FA">
              <w:rPr>
                <w:rFonts w:ascii="Century Gothic" w:hAnsi="Century Gothic"/>
                <w:sz w:val="20"/>
                <w:szCs w:val="20"/>
              </w:rPr>
              <w:t xml:space="preserve"> its existing products/services (including closed products/services) comparing the current requirements to the proposed new requirements?</w:t>
            </w:r>
          </w:p>
          <w:p w14:paraId="4DC3B184"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677DF742" w14:textId="6CDB93A5"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No - its current proposition includes reviews of all products in clients’ domain. The firm only has one service </w:t>
            </w:r>
            <w:proofErr w:type="gramStart"/>
            <w:r>
              <w:rPr>
                <w:rFonts w:ascii="Century Gothic" w:hAnsi="Century Gothic"/>
                <w:sz w:val="20"/>
                <w:szCs w:val="20"/>
              </w:rPr>
              <w:t>proposition</w:t>
            </w:r>
            <w:proofErr w:type="gramEnd"/>
            <w:r>
              <w:rPr>
                <w:rFonts w:ascii="Century Gothic" w:hAnsi="Century Gothic"/>
                <w:sz w:val="20"/>
                <w:szCs w:val="20"/>
              </w:rPr>
              <w:t xml:space="preserve"> so everyone gets the same – no need to adjust</w:t>
            </w:r>
          </w:p>
        </w:tc>
        <w:tc>
          <w:tcPr>
            <w:tcW w:w="1296" w:type="pct"/>
            <w:shd w:val="clear" w:color="auto" w:fill="auto"/>
          </w:tcPr>
          <w:p w14:paraId="668384CD" w14:textId="2868DFFC"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622" w:type="pct"/>
            <w:shd w:val="clear" w:color="auto" w:fill="auto"/>
          </w:tcPr>
          <w:p w14:paraId="002B3E4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auto"/>
          </w:tcPr>
          <w:p w14:paraId="53500D44"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3E639D51" w14:textId="4119DC32" w:rsidTr="004E737C">
        <w:tc>
          <w:tcPr>
            <w:tcW w:w="154" w:type="pct"/>
          </w:tcPr>
          <w:p w14:paraId="0831E47B"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7D17001F"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xml:space="preserve">Do any of the terms and conditions of current products/services need updating </w:t>
            </w:r>
            <w:proofErr w:type="gramStart"/>
            <w:r w:rsidRPr="00F205FA">
              <w:rPr>
                <w:rFonts w:ascii="Century Gothic" w:hAnsi="Century Gothic"/>
                <w:sz w:val="20"/>
                <w:szCs w:val="20"/>
              </w:rPr>
              <w:t>in light of</w:t>
            </w:r>
            <w:proofErr w:type="gramEnd"/>
            <w:r w:rsidRPr="00F205FA">
              <w:rPr>
                <w:rFonts w:ascii="Century Gothic" w:hAnsi="Century Gothic"/>
                <w:sz w:val="20"/>
                <w:szCs w:val="20"/>
              </w:rPr>
              <w:t xml:space="preserve"> the review?</w:t>
            </w:r>
          </w:p>
        </w:tc>
        <w:tc>
          <w:tcPr>
            <w:tcW w:w="1231" w:type="pct"/>
          </w:tcPr>
          <w:p w14:paraId="766CA35D" w14:textId="28BEBC1A"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We don’t know – we will review our current terms</w:t>
            </w:r>
          </w:p>
        </w:tc>
        <w:tc>
          <w:tcPr>
            <w:tcW w:w="1296" w:type="pct"/>
            <w:shd w:val="clear" w:color="auto" w:fill="auto"/>
          </w:tcPr>
          <w:p w14:paraId="40C41B99" w14:textId="0C27DA65" w:rsidR="00A71C53" w:rsidRPr="00F205FA" w:rsidRDefault="00A71C53" w:rsidP="004774A0">
            <w:pPr>
              <w:widowControl w:val="0"/>
              <w:autoSpaceDE w:val="0"/>
              <w:autoSpaceDN w:val="0"/>
              <w:adjustRightInd w:val="0"/>
              <w:jc w:val="both"/>
              <w:rPr>
                <w:rFonts w:ascii="Century Gothic" w:hAnsi="Century Gothic"/>
                <w:sz w:val="20"/>
                <w:szCs w:val="20"/>
              </w:rPr>
            </w:pPr>
          </w:p>
        </w:tc>
        <w:tc>
          <w:tcPr>
            <w:tcW w:w="622" w:type="pct"/>
            <w:shd w:val="clear" w:color="auto" w:fill="auto"/>
            <w:vAlign w:val="center"/>
          </w:tcPr>
          <w:p w14:paraId="3031651A" w14:textId="5A65979E" w:rsidR="004774A0" w:rsidRDefault="004774A0" w:rsidP="00A71C53">
            <w:pPr>
              <w:widowControl w:val="0"/>
              <w:autoSpaceDE w:val="0"/>
              <w:autoSpaceDN w:val="0"/>
              <w:adjustRightInd w:val="0"/>
              <w:jc w:val="center"/>
              <w:rPr>
                <w:rFonts w:ascii="Century Gothic" w:hAnsi="Century Gothic"/>
                <w:sz w:val="20"/>
                <w:szCs w:val="20"/>
              </w:rPr>
            </w:pPr>
          </w:p>
        </w:tc>
        <w:tc>
          <w:tcPr>
            <w:tcW w:w="595" w:type="pct"/>
            <w:shd w:val="clear" w:color="auto" w:fill="auto"/>
          </w:tcPr>
          <w:p w14:paraId="1821329F"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702D9261" w14:textId="4C9FCA0A" w:rsidTr="004E737C">
        <w:tc>
          <w:tcPr>
            <w:tcW w:w="154" w:type="pct"/>
          </w:tcPr>
          <w:p w14:paraId="0E96F303"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4FF5719C"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Has the firm reviewed (or is it intending to review) its product/service terms to </w:t>
            </w:r>
            <w:r w:rsidRPr="00F205FA">
              <w:rPr>
                <w:rFonts w:ascii="Century Gothic" w:hAnsi="Century Gothic"/>
                <w:sz w:val="20"/>
                <w:szCs w:val="20"/>
              </w:rPr>
              <w:lastRenderedPageBreak/>
              <w:t xml:space="preserve">ensure compliance with the fairness requirements of the </w:t>
            </w:r>
            <w:hyperlink r:id="rId10" w:history="1">
              <w:r w:rsidRPr="00F205FA">
                <w:rPr>
                  <w:rFonts w:ascii="Century Gothic" w:hAnsi="Century Gothic"/>
                  <w:i/>
                  <w:iCs/>
                  <w:sz w:val="20"/>
                  <w:szCs w:val="20"/>
                </w:rPr>
                <w:t>Consumer Rights Act 2015</w:t>
              </w:r>
            </w:hyperlink>
            <w:r w:rsidRPr="00F205FA">
              <w:rPr>
                <w:rFonts w:ascii="Century Gothic" w:hAnsi="Century Gothic"/>
                <w:sz w:val="20"/>
                <w:szCs w:val="20"/>
              </w:rPr>
              <w:t xml:space="preserve"> (CRA)?</w:t>
            </w:r>
          </w:p>
        </w:tc>
        <w:tc>
          <w:tcPr>
            <w:tcW w:w="1231" w:type="pct"/>
          </w:tcPr>
          <w:p w14:paraId="16145E5E" w14:textId="44F172BF"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 xml:space="preserve">The firm operates a fixed price consistent service across its clients. This allows it to service </w:t>
            </w:r>
            <w:r>
              <w:rPr>
                <w:rFonts w:ascii="Century Gothic" w:hAnsi="Century Gothic"/>
                <w:sz w:val="20"/>
                <w:szCs w:val="20"/>
              </w:rPr>
              <w:lastRenderedPageBreak/>
              <w:t>and price according to client needs. The firm’s view is that this is fit for purpose</w:t>
            </w:r>
          </w:p>
        </w:tc>
        <w:tc>
          <w:tcPr>
            <w:tcW w:w="1296" w:type="pct"/>
            <w:shd w:val="clear" w:color="auto" w:fill="auto"/>
          </w:tcPr>
          <w:p w14:paraId="2674F6D2" w14:textId="067676C6"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622" w:type="pct"/>
            <w:shd w:val="clear" w:color="auto" w:fill="auto"/>
          </w:tcPr>
          <w:p w14:paraId="112E304E"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auto"/>
          </w:tcPr>
          <w:p w14:paraId="2916B807" w14:textId="77777777" w:rsidR="004774A0" w:rsidRDefault="004774A0" w:rsidP="004774A0">
            <w:pPr>
              <w:widowControl w:val="0"/>
              <w:autoSpaceDE w:val="0"/>
              <w:autoSpaceDN w:val="0"/>
              <w:adjustRightInd w:val="0"/>
              <w:jc w:val="both"/>
              <w:rPr>
                <w:rFonts w:ascii="Century Gothic" w:hAnsi="Century Gothic"/>
                <w:sz w:val="20"/>
                <w:szCs w:val="20"/>
              </w:rPr>
            </w:pPr>
          </w:p>
        </w:tc>
      </w:tr>
    </w:tbl>
    <w:p w14:paraId="2756DC1E" w14:textId="4AE2C6CB" w:rsidR="004774A0" w:rsidRDefault="004774A0" w:rsidP="00F92EBA">
      <w:pPr>
        <w:widowControl w:val="0"/>
        <w:autoSpaceDE w:val="0"/>
        <w:autoSpaceDN w:val="0"/>
        <w:adjustRightInd w:val="0"/>
        <w:jc w:val="both"/>
        <w:rPr>
          <w:rFonts w:ascii="Century Gothic" w:hAnsi="Century Gothic"/>
          <w:sz w:val="20"/>
          <w:szCs w:val="20"/>
        </w:rPr>
      </w:pPr>
    </w:p>
    <w:p w14:paraId="3D441D5F" w14:textId="77777777" w:rsidR="004774A0" w:rsidRPr="00F205FA" w:rsidRDefault="004774A0" w:rsidP="00F92EBA">
      <w:pPr>
        <w:widowControl w:val="0"/>
        <w:autoSpaceDE w:val="0"/>
        <w:autoSpaceDN w:val="0"/>
        <w:adjustRightInd w:val="0"/>
        <w:jc w:val="both"/>
        <w:rPr>
          <w:rFonts w:ascii="Century Gothic" w:hAnsi="Century Gothic"/>
          <w:sz w:val="20"/>
          <w:szCs w:val="20"/>
        </w:rPr>
      </w:pPr>
    </w:p>
    <w:p w14:paraId="2F28FD44" w14:textId="77777777" w:rsidR="00E80CDE" w:rsidRPr="00F205FA" w:rsidRDefault="00E80CDE" w:rsidP="00F92EB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Avoiding foreseeable harm</w:t>
      </w:r>
    </w:p>
    <w:p w14:paraId="5288F39E" w14:textId="77777777" w:rsidR="00E80CDE" w:rsidRPr="00F205F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3010"/>
        <w:gridCol w:w="3368"/>
        <w:gridCol w:w="3401"/>
        <w:gridCol w:w="1985"/>
        <w:gridCol w:w="1485"/>
      </w:tblGrid>
      <w:tr w:rsidR="004774A0" w:rsidRPr="00F205FA" w14:paraId="516C9760" w14:textId="0EE2968B" w:rsidTr="008071B5">
        <w:tc>
          <w:tcPr>
            <w:tcW w:w="154" w:type="pct"/>
            <w:shd w:val="clear" w:color="auto" w:fill="009193"/>
          </w:tcPr>
          <w:p w14:paraId="6AF6CD0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0"/>
                <w:szCs w:val="20"/>
              </w:rPr>
            </w:pPr>
          </w:p>
        </w:tc>
        <w:tc>
          <w:tcPr>
            <w:tcW w:w="1101" w:type="pct"/>
            <w:shd w:val="clear" w:color="auto" w:fill="009193"/>
          </w:tcPr>
          <w:p w14:paraId="1924CDE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2" w:type="pct"/>
            <w:shd w:val="clear" w:color="auto" w:fill="009193"/>
          </w:tcPr>
          <w:p w14:paraId="33FBE5AB"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44" w:type="pct"/>
            <w:shd w:val="clear" w:color="auto" w:fill="009193"/>
          </w:tcPr>
          <w:p w14:paraId="61A6A74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726" w:type="pct"/>
            <w:shd w:val="clear" w:color="auto" w:fill="009193"/>
          </w:tcPr>
          <w:p w14:paraId="7F138F5F" w14:textId="1D46E500"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5B61110" w14:textId="43CBFCAD"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4E5E045A" w14:textId="54B95FFD" w:rsidTr="00CC27E7">
        <w:tc>
          <w:tcPr>
            <w:tcW w:w="154" w:type="pct"/>
          </w:tcPr>
          <w:p w14:paraId="4DF82161"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3256878" w14:textId="77777777" w:rsidR="004774A0" w:rsidRPr="00F205FA" w:rsidRDefault="004774A0"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What process has the firm in place for approving new products/services or significant changes to existing products/services?</w:t>
            </w:r>
          </w:p>
          <w:p w14:paraId="0D25A275"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32" w:type="pct"/>
          </w:tcPr>
          <w:p w14:paraId="77D61454" w14:textId="1BC3A82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The firm has a centralised investment proposition. Underlying funds, managers and products are reviewed annually. New products are assessed centrally before use. Where clients have products / funds outside the CIP, these a reviewed annually at a client level. The service proposition ensures the clients are similar in circumstance</w:t>
            </w:r>
          </w:p>
        </w:tc>
        <w:tc>
          <w:tcPr>
            <w:tcW w:w="1244" w:type="pct"/>
            <w:shd w:val="clear" w:color="auto" w:fill="D883FF"/>
          </w:tcPr>
          <w:p w14:paraId="6AD6D2B3" w14:textId="6D1496E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656DA20A"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66A44A32"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7E7E2A3" w14:textId="47BF3F79" w:rsidTr="00CC27E7">
        <w:tc>
          <w:tcPr>
            <w:tcW w:w="154" w:type="pct"/>
          </w:tcPr>
          <w:p w14:paraId="07D9DD1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C049B5E" w14:textId="77777777" w:rsidR="004774A0" w:rsidRPr="00F205FA" w:rsidRDefault="004774A0"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For new products/services, does the firm test the product/service before launch to assess how it is likely to function in different conditions and whether it could lead to foreseeable harm?</w:t>
            </w:r>
          </w:p>
          <w:p w14:paraId="67C94C53"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32" w:type="pct"/>
          </w:tcPr>
          <w:p w14:paraId="3081EA90" w14:textId="786584D2"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 this is a provider not adviser responsibility. However, we do assess whether the features / underlying investments in a product are likely to be appropriate for the client cohort</w:t>
            </w:r>
          </w:p>
        </w:tc>
        <w:tc>
          <w:tcPr>
            <w:tcW w:w="1244" w:type="pct"/>
            <w:shd w:val="clear" w:color="auto" w:fill="D883FF"/>
          </w:tcPr>
          <w:p w14:paraId="03106B0F" w14:textId="4A418EF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02FFD1B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EF2E099"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ED1CFCC" w14:textId="169F06AE" w:rsidTr="00CC27E7">
        <w:tc>
          <w:tcPr>
            <w:tcW w:w="154" w:type="pct"/>
          </w:tcPr>
          <w:p w14:paraId="05EE45F0"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20FDAD94"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identified a target market of customers, at a sufficiently granular level, for whom the product/service is designed?</w:t>
            </w:r>
          </w:p>
        </w:tc>
        <w:tc>
          <w:tcPr>
            <w:tcW w:w="1232" w:type="pct"/>
          </w:tcPr>
          <w:p w14:paraId="3EF8D2BE" w14:textId="3FD57A8E"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the firm is very specific about its proposition, which leads to a consistent and similar client cohort</w:t>
            </w:r>
          </w:p>
        </w:tc>
        <w:tc>
          <w:tcPr>
            <w:tcW w:w="1244" w:type="pct"/>
            <w:shd w:val="clear" w:color="auto" w:fill="D883FF"/>
          </w:tcPr>
          <w:p w14:paraId="6AB9A3E7" w14:textId="6EA9A14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0C5762F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6DD0046B"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3A9540D9" w14:textId="60467A73" w:rsidTr="00571652">
        <w:tc>
          <w:tcPr>
            <w:tcW w:w="154" w:type="pct"/>
          </w:tcPr>
          <w:p w14:paraId="021DC11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A86670D"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ensured that</w:t>
            </w:r>
          </w:p>
        </w:tc>
        <w:tc>
          <w:tcPr>
            <w:tcW w:w="1232" w:type="pct"/>
            <w:shd w:val="clear" w:color="auto" w:fill="BFBFBF" w:themeFill="background1" w:themeFillShade="BF"/>
          </w:tcPr>
          <w:p w14:paraId="212C3EAF"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44" w:type="pct"/>
            <w:shd w:val="clear" w:color="auto" w:fill="BFBFBF" w:themeFill="background1" w:themeFillShade="BF"/>
          </w:tcPr>
          <w:p w14:paraId="396D8BB4"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726" w:type="pct"/>
            <w:shd w:val="clear" w:color="auto" w:fill="BFBFBF" w:themeFill="background1" w:themeFillShade="BF"/>
          </w:tcPr>
          <w:p w14:paraId="28EEF8DE"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BFBFBF" w:themeFill="background1" w:themeFillShade="BF"/>
          </w:tcPr>
          <w:p w14:paraId="0AD4781B"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0469C756" w14:textId="14104D9F" w:rsidTr="00CC27E7">
        <w:tc>
          <w:tcPr>
            <w:tcW w:w="154" w:type="pct"/>
          </w:tcPr>
          <w:p w14:paraId="0AE5911D"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sz w:val="20"/>
                <w:szCs w:val="20"/>
              </w:rPr>
            </w:pPr>
          </w:p>
        </w:tc>
        <w:tc>
          <w:tcPr>
            <w:tcW w:w="1101" w:type="pct"/>
          </w:tcPr>
          <w:p w14:paraId="23FCB591" w14:textId="77777777" w:rsidR="004774A0" w:rsidRPr="00F205FA" w:rsidRDefault="004774A0" w:rsidP="0003511D">
            <w:pPr>
              <w:widowControl w:val="0"/>
              <w:autoSpaceDE w:val="0"/>
              <w:autoSpaceDN w:val="0"/>
              <w:adjustRightInd w:val="0"/>
              <w:spacing w:after="180"/>
              <w:ind w:left="720"/>
              <w:jc w:val="both"/>
              <w:rPr>
                <w:rFonts w:ascii="Century Gothic" w:hAnsi="Century Gothic"/>
                <w:sz w:val="20"/>
                <w:szCs w:val="20"/>
              </w:rPr>
            </w:pPr>
            <w:r w:rsidRPr="00F205FA">
              <w:rPr>
                <w:rFonts w:ascii="Century Gothic" w:hAnsi="Century Gothic"/>
                <w:sz w:val="20"/>
                <w:szCs w:val="20"/>
              </w:rPr>
              <w:t>its products/services are designed to meet the needs of consumers within its target market; and</w:t>
            </w:r>
          </w:p>
        </w:tc>
        <w:tc>
          <w:tcPr>
            <w:tcW w:w="1232" w:type="pct"/>
          </w:tcPr>
          <w:p w14:paraId="30CE3FB6" w14:textId="391DED84"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see13 through 15 above</w:t>
            </w:r>
          </w:p>
        </w:tc>
        <w:tc>
          <w:tcPr>
            <w:tcW w:w="1244" w:type="pct"/>
            <w:shd w:val="clear" w:color="auto" w:fill="D883FF"/>
          </w:tcPr>
          <w:p w14:paraId="736F0042" w14:textId="4F536EF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699A874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507E8DE0"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7B10B5A" w14:textId="22159E4C" w:rsidTr="00CC27E7">
        <w:tc>
          <w:tcPr>
            <w:tcW w:w="154" w:type="pct"/>
          </w:tcPr>
          <w:p w14:paraId="6910DC52"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sz w:val="20"/>
                <w:szCs w:val="20"/>
              </w:rPr>
            </w:pPr>
          </w:p>
        </w:tc>
        <w:tc>
          <w:tcPr>
            <w:tcW w:w="1101" w:type="pct"/>
          </w:tcPr>
          <w:p w14:paraId="46E12AD4" w14:textId="77777777" w:rsidR="004774A0" w:rsidRPr="00F205FA" w:rsidRDefault="004774A0" w:rsidP="0003511D">
            <w:pPr>
              <w:widowControl w:val="0"/>
              <w:autoSpaceDE w:val="0"/>
              <w:autoSpaceDN w:val="0"/>
              <w:adjustRightInd w:val="0"/>
              <w:spacing w:after="180"/>
              <w:ind w:left="720"/>
              <w:jc w:val="both"/>
              <w:rPr>
                <w:rFonts w:ascii="Century Gothic" w:hAnsi="Century Gothic"/>
                <w:sz w:val="20"/>
                <w:szCs w:val="20"/>
              </w:rPr>
            </w:pPr>
            <w:r w:rsidRPr="00F205FA">
              <w:rPr>
                <w:rFonts w:ascii="Century Gothic" w:hAnsi="Century Gothic"/>
                <w:sz w:val="20"/>
                <w:szCs w:val="20"/>
              </w:rPr>
              <w:t xml:space="preserve">its products/services remain consistent with the needs, </w:t>
            </w:r>
            <w:proofErr w:type="gramStart"/>
            <w:r w:rsidRPr="00F205FA">
              <w:rPr>
                <w:rFonts w:ascii="Century Gothic" w:hAnsi="Century Gothic"/>
                <w:sz w:val="20"/>
                <w:szCs w:val="20"/>
              </w:rPr>
              <w:t>characteristics</w:t>
            </w:r>
            <w:proofErr w:type="gramEnd"/>
            <w:r w:rsidRPr="00F205FA">
              <w:rPr>
                <w:rFonts w:ascii="Century Gothic" w:hAnsi="Century Gothic"/>
                <w:sz w:val="20"/>
                <w:szCs w:val="20"/>
              </w:rPr>
              <w:t xml:space="preserve"> and objectives of the target market</w:t>
            </w:r>
          </w:p>
        </w:tc>
        <w:tc>
          <w:tcPr>
            <w:tcW w:w="1232" w:type="pct"/>
          </w:tcPr>
          <w:p w14:paraId="4734D637" w14:textId="655B9E9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 13 above</w:t>
            </w:r>
          </w:p>
        </w:tc>
        <w:tc>
          <w:tcPr>
            <w:tcW w:w="1244" w:type="pct"/>
            <w:shd w:val="clear" w:color="auto" w:fill="D883FF"/>
          </w:tcPr>
          <w:p w14:paraId="510AD598" w14:textId="3855DDA4"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4D0A7D7"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32668DDF"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078494A" w14:textId="235D69B2" w:rsidTr="00CC27E7">
        <w:tc>
          <w:tcPr>
            <w:tcW w:w="154" w:type="pct"/>
          </w:tcPr>
          <w:p w14:paraId="4E0D3B16"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6CA088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If they do not, what action does the firm take to mitigate the situation and prevent further harm?</w:t>
            </w:r>
          </w:p>
        </w:tc>
        <w:tc>
          <w:tcPr>
            <w:tcW w:w="1232" w:type="pct"/>
          </w:tcPr>
          <w:p w14:paraId="6591D709" w14:textId="0717AA72"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N/A</w:t>
            </w:r>
          </w:p>
        </w:tc>
        <w:tc>
          <w:tcPr>
            <w:tcW w:w="1244" w:type="pct"/>
            <w:shd w:val="clear" w:color="auto" w:fill="D883FF"/>
          </w:tcPr>
          <w:p w14:paraId="26F357B4" w14:textId="2535F1D0"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5293920"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51ACA8A8"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19B18AEA" w14:textId="67CF0A73" w:rsidTr="00CC27E7">
        <w:tc>
          <w:tcPr>
            <w:tcW w:w="154" w:type="pct"/>
          </w:tcPr>
          <w:p w14:paraId="01A07EDE"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052FBC1B"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considered if there are any consumers with characteristics of vulnerability in the target market and taken account of any additional or different needs of those consumers?</w:t>
            </w:r>
          </w:p>
        </w:tc>
        <w:tc>
          <w:tcPr>
            <w:tcW w:w="1232" w:type="pct"/>
          </w:tcPr>
          <w:p w14:paraId="135006CB" w14:textId="2C81FD6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Yes, </w:t>
            </w:r>
            <w:proofErr w:type="gramStart"/>
            <w:r>
              <w:rPr>
                <w:rFonts w:ascii="Century Gothic" w:hAnsi="Century Gothic"/>
                <w:sz w:val="20"/>
                <w:szCs w:val="20"/>
              </w:rPr>
              <w:t>The</w:t>
            </w:r>
            <w:proofErr w:type="gramEnd"/>
            <w:r>
              <w:rPr>
                <w:rFonts w:ascii="Century Gothic" w:hAnsi="Century Gothic"/>
                <w:sz w:val="20"/>
                <w:szCs w:val="20"/>
              </w:rPr>
              <w:t xml:space="preserve"> firm has specific procedures for vulnerable clients. Each client is assessed for the elements of vulnerability present and specific adaptations to procedures are made</w:t>
            </w:r>
          </w:p>
        </w:tc>
        <w:tc>
          <w:tcPr>
            <w:tcW w:w="1244" w:type="pct"/>
            <w:shd w:val="clear" w:color="auto" w:fill="D883FF"/>
          </w:tcPr>
          <w:p w14:paraId="00215474" w14:textId="3A72E7E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FD1F76C"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CD0BA51"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A22B1CA" w14:textId="3E88756A" w:rsidTr="00CC27E7">
        <w:tc>
          <w:tcPr>
            <w:tcW w:w="154" w:type="pct"/>
          </w:tcPr>
          <w:p w14:paraId="4B2AF574"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A173141"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developed a distribution strategy appropriate for the target market and ensured the product will be distributed in accordance with the target market (e.g., VCTs, BR schemes etc)?</w:t>
            </w:r>
          </w:p>
        </w:tc>
        <w:tc>
          <w:tcPr>
            <w:tcW w:w="1232" w:type="pct"/>
          </w:tcPr>
          <w:p w14:paraId="76C95F21" w14:textId="2B26798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The firm has a process which is client not product focussed. This means that client circumstances are identified at a client level and then the appropriate product matched to the circumstance. </w:t>
            </w:r>
          </w:p>
        </w:tc>
        <w:tc>
          <w:tcPr>
            <w:tcW w:w="1244" w:type="pct"/>
            <w:shd w:val="clear" w:color="auto" w:fill="D883FF"/>
          </w:tcPr>
          <w:p w14:paraId="265370FF" w14:textId="4EF37B8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E1C0813"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40D41FF"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0382844B" w14:textId="5BA988FC" w:rsidTr="00CC27E7">
        <w:tc>
          <w:tcPr>
            <w:tcW w:w="154" w:type="pct"/>
          </w:tcPr>
          <w:p w14:paraId="500B7357"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6254AC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Do distributing firms understand the products they distribute? For example, do they have sufficient information from the manufacturer to understand </w:t>
            </w:r>
            <w:r w:rsidRPr="00F205FA">
              <w:rPr>
                <w:rFonts w:ascii="Century Gothic" w:hAnsi="Century Gothic"/>
                <w:sz w:val="20"/>
                <w:szCs w:val="20"/>
              </w:rPr>
              <w:lastRenderedPageBreak/>
              <w:t xml:space="preserve">the product, its target </w:t>
            </w:r>
            <w:proofErr w:type="gramStart"/>
            <w:r w:rsidRPr="00F205FA">
              <w:rPr>
                <w:rFonts w:ascii="Century Gothic" w:hAnsi="Century Gothic"/>
                <w:sz w:val="20"/>
                <w:szCs w:val="20"/>
              </w:rPr>
              <w:t>market</w:t>
            </w:r>
            <w:proofErr w:type="gramEnd"/>
            <w:r w:rsidRPr="00F205FA">
              <w:rPr>
                <w:rFonts w:ascii="Century Gothic" w:hAnsi="Century Gothic"/>
                <w:sz w:val="20"/>
                <w:szCs w:val="20"/>
              </w:rPr>
              <w:t xml:space="preserve"> and its intended distribution strategy (due diligence)?</w:t>
            </w:r>
          </w:p>
        </w:tc>
        <w:tc>
          <w:tcPr>
            <w:tcW w:w="1232" w:type="pct"/>
          </w:tcPr>
          <w:p w14:paraId="655AE63D" w14:textId="75E8EDC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Yes</w:t>
            </w:r>
          </w:p>
        </w:tc>
        <w:tc>
          <w:tcPr>
            <w:tcW w:w="1244" w:type="pct"/>
            <w:shd w:val="clear" w:color="auto" w:fill="D883FF"/>
          </w:tcPr>
          <w:p w14:paraId="6B3FA3F9" w14:textId="6BD60F7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1E286B41"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1F911FA"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9F99468" w14:textId="1B3362EA" w:rsidTr="00CC27E7">
        <w:tc>
          <w:tcPr>
            <w:tcW w:w="154" w:type="pct"/>
          </w:tcPr>
          <w:p w14:paraId="4119D609"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1734F83B"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carry out regular reviews of its products/services or distribution arrangements (again, due diligence)?</w:t>
            </w:r>
          </w:p>
        </w:tc>
        <w:tc>
          <w:tcPr>
            <w:tcW w:w="1232" w:type="pct"/>
          </w:tcPr>
          <w:p w14:paraId="6623A48E" w14:textId="19CB55FC"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 13 above.</w:t>
            </w:r>
          </w:p>
        </w:tc>
        <w:tc>
          <w:tcPr>
            <w:tcW w:w="1244" w:type="pct"/>
            <w:shd w:val="clear" w:color="auto" w:fill="D883FF"/>
          </w:tcPr>
          <w:p w14:paraId="006CD37A" w14:textId="4C277F2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483E851"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D665C3D"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B973CD9" w14:textId="7AED5098" w:rsidTr="00CC27E7">
        <w:tc>
          <w:tcPr>
            <w:tcW w:w="154" w:type="pct"/>
          </w:tcPr>
          <w:p w14:paraId="26BF569D"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156A9B81"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proactively considered how consumers’ behavioural biases, such as inertia, might lead its products/services to cause foreseeable harm?</w:t>
            </w:r>
          </w:p>
        </w:tc>
        <w:tc>
          <w:tcPr>
            <w:tcW w:w="1232" w:type="pct"/>
          </w:tcPr>
          <w:p w14:paraId="35DC6EDE" w14:textId="247AAB3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but annual client contact through annual reviews ensures this doesn’t happen</w:t>
            </w:r>
          </w:p>
        </w:tc>
        <w:tc>
          <w:tcPr>
            <w:tcW w:w="1244" w:type="pct"/>
            <w:shd w:val="clear" w:color="auto" w:fill="D883FF"/>
          </w:tcPr>
          <w:p w14:paraId="64960DAB" w14:textId="7F6C9DB6"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4CBAA895"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7D39DF83" w14:textId="77777777" w:rsidR="004774A0" w:rsidRDefault="004774A0" w:rsidP="00F205FA">
            <w:pPr>
              <w:widowControl w:val="0"/>
              <w:autoSpaceDE w:val="0"/>
              <w:autoSpaceDN w:val="0"/>
              <w:adjustRightInd w:val="0"/>
              <w:jc w:val="both"/>
              <w:rPr>
                <w:rFonts w:ascii="Century Gothic" w:hAnsi="Century Gothic"/>
                <w:sz w:val="20"/>
                <w:szCs w:val="20"/>
              </w:rPr>
            </w:pPr>
          </w:p>
        </w:tc>
      </w:tr>
    </w:tbl>
    <w:p w14:paraId="240647F8" w14:textId="32B4394C" w:rsidR="00E80CDE" w:rsidRDefault="00E80CDE" w:rsidP="00F92EB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4706E6AF" w14:textId="77777777" w:rsidR="00F92EBA" w:rsidRPr="00F205FA" w:rsidRDefault="00F92EBA" w:rsidP="00F92EBA">
      <w:pPr>
        <w:widowControl w:val="0"/>
        <w:autoSpaceDE w:val="0"/>
        <w:autoSpaceDN w:val="0"/>
        <w:adjustRightInd w:val="0"/>
        <w:jc w:val="both"/>
        <w:rPr>
          <w:rFonts w:ascii="Century Gothic" w:hAnsi="Century Gothic"/>
          <w:sz w:val="20"/>
          <w:szCs w:val="20"/>
        </w:rPr>
      </w:pPr>
    </w:p>
    <w:p w14:paraId="2003C7BE"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Enabling and supporting retail customers to pursue their financial </w:t>
      </w:r>
      <w:proofErr w:type="gramStart"/>
      <w:r w:rsidRPr="00F92EBA">
        <w:rPr>
          <w:rFonts w:ascii="Century Gothic" w:hAnsi="Century Gothic"/>
          <w:sz w:val="22"/>
          <w:szCs w:val="22"/>
        </w:rPr>
        <w:t>objectives</w:t>
      </w:r>
      <w:proofErr w:type="gramEnd"/>
    </w:p>
    <w:p w14:paraId="4C1284E9"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21"/>
        <w:gridCol w:w="3010"/>
        <w:gridCol w:w="3368"/>
        <w:gridCol w:w="3401"/>
        <w:gridCol w:w="1985"/>
        <w:gridCol w:w="1485"/>
      </w:tblGrid>
      <w:tr w:rsidR="004774A0" w:rsidRPr="00F92EBA" w14:paraId="32BA3EA1" w14:textId="731C6B7C" w:rsidTr="008071B5">
        <w:tc>
          <w:tcPr>
            <w:tcW w:w="154" w:type="pct"/>
            <w:shd w:val="clear" w:color="auto" w:fill="009193"/>
          </w:tcPr>
          <w:p w14:paraId="7D81C405"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101" w:type="pct"/>
            <w:shd w:val="clear" w:color="auto" w:fill="009193"/>
          </w:tcPr>
          <w:p w14:paraId="7649EAC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2" w:type="pct"/>
            <w:shd w:val="clear" w:color="auto" w:fill="009193"/>
          </w:tcPr>
          <w:p w14:paraId="0CC1A566"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44" w:type="pct"/>
            <w:shd w:val="clear" w:color="auto" w:fill="009193"/>
          </w:tcPr>
          <w:p w14:paraId="7BF2F552"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726" w:type="pct"/>
            <w:shd w:val="clear" w:color="auto" w:fill="009193"/>
          </w:tcPr>
          <w:p w14:paraId="3D7C5E1E" w14:textId="7EFE9DDC"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4547BD2" w14:textId="08FB024A"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7CE27953" w14:textId="581EDFDC" w:rsidTr="00571652">
        <w:tc>
          <w:tcPr>
            <w:tcW w:w="154" w:type="pct"/>
          </w:tcPr>
          <w:p w14:paraId="2E01796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099C74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design services with clear and straightforward features so they can be understood by consumers in the target market?</w:t>
            </w:r>
          </w:p>
        </w:tc>
        <w:tc>
          <w:tcPr>
            <w:tcW w:w="1232" w:type="pct"/>
          </w:tcPr>
          <w:p w14:paraId="521E44E3" w14:textId="6FF8B63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w:t>
            </w:r>
          </w:p>
        </w:tc>
        <w:tc>
          <w:tcPr>
            <w:tcW w:w="1244" w:type="pct"/>
            <w:shd w:val="clear" w:color="auto" w:fill="D883FF"/>
          </w:tcPr>
          <w:p w14:paraId="6E458A95" w14:textId="70BB189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F273819"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337EDA15"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6978987" w14:textId="24812555" w:rsidTr="00571652">
        <w:tc>
          <w:tcPr>
            <w:tcW w:w="154" w:type="pct"/>
          </w:tcPr>
          <w:p w14:paraId="1755677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26EA22F"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charge reasonable exit fees so that consumers are not discouraged from leaving products/services that are not right for them, or getting better deals?</w:t>
            </w:r>
          </w:p>
        </w:tc>
        <w:tc>
          <w:tcPr>
            <w:tcW w:w="1232" w:type="pct"/>
          </w:tcPr>
          <w:p w14:paraId="2950C522" w14:textId="0EBEFF6F"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We don’t charge exit fees</w:t>
            </w:r>
          </w:p>
        </w:tc>
        <w:tc>
          <w:tcPr>
            <w:tcW w:w="1244" w:type="pct"/>
            <w:shd w:val="clear" w:color="auto" w:fill="D883FF"/>
          </w:tcPr>
          <w:p w14:paraId="1AA77DF3" w14:textId="1B68B64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80189E2"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981EF38" w14:textId="77777777" w:rsidR="004774A0" w:rsidRDefault="004774A0" w:rsidP="00F205FA">
            <w:pPr>
              <w:widowControl w:val="0"/>
              <w:autoSpaceDE w:val="0"/>
              <w:autoSpaceDN w:val="0"/>
              <w:adjustRightInd w:val="0"/>
              <w:jc w:val="both"/>
              <w:rPr>
                <w:rFonts w:ascii="Century Gothic" w:hAnsi="Century Gothic"/>
                <w:sz w:val="20"/>
                <w:szCs w:val="20"/>
              </w:rPr>
            </w:pPr>
          </w:p>
        </w:tc>
      </w:tr>
    </w:tbl>
    <w:p w14:paraId="1E83C701" w14:textId="77777777" w:rsidR="00E80CDE" w:rsidRPr="00F205FA" w:rsidRDefault="00E80CDE" w:rsidP="00F205FA">
      <w:pPr>
        <w:widowControl w:val="0"/>
        <w:autoSpaceDE w:val="0"/>
        <w:autoSpaceDN w:val="0"/>
        <w:adjustRightInd w:val="0"/>
        <w:jc w:val="both"/>
        <w:rPr>
          <w:rFonts w:ascii="Century Gothic" w:hAnsi="Century Gothic"/>
          <w:sz w:val="20"/>
          <w:szCs w:val="20"/>
        </w:rPr>
      </w:pPr>
    </w:p>
    <w:p w14:paraId="4076255D" w14:textId="0090F7AA" w:rsidR="00E80CDE" w:rsidRDefault="00E80CDE" w:rsidP="00F205FA">
      <w:pPr>
        <w:widowControl w:val="0"/>
        <w:autoSpaceDE w:val="0"/>
        <w:autoSpaceDN w:val="0"/>
        <w:adjustRightInd w:val="0"/>
        <w:jc w:val="both"/>
        <w:rPr>
          <w:rFonts w:ascii="Century Gothic" w:hAnsi="Century Gothic"/>
          <w:sz w:val="22"/>
          <w:szCs w:val="22"/>
        </w:rPr>
      </w:pPr>
    </w:p>
    <w:p w14:paraId="5479EAEE" w14:textId="278DF9D2" w:rsidR="004774A0" w:rsidRDefault="004774A0" w:rsidP="00F205FA">
      <w:pPr>
        <w:widowControl w:val="0"/>
        <w:autoSpaceDE w:val="0"/>
        <w:autoSpaceDN w:val="0"/>
        <w:adjustRightInd w:val="0"/>
        <w:jc w:val="both"/>
        <w:rPr>
          <w:rFonts w:ascii="Century Gothic" w:hAnsi="Century Gothic"/>
          <w:sz w:val="22"/>
          <w:szCs w:val="22"/>
        </w:rPr>
      </w:pPr>
    </w:p>
    <w:p w14:paraId="1B1FD930" w14:textId="77777777" w:rsidR="004774A0" w:rsidRPr="00F92EBA" w:rsidRDefault="004774A0" w:rsidP="00F205FA">
      <w:pPr>
        <w:widowControl w:val="0"/>
        <w:autoSpaceDE w:val="0"/>
        <w:autoSpaceDN w:val="0"/>
        <w:adjustRightInd w:val="0"/>
        <w:jc w:val="both"/>
        <w:rPr>
          <w:rFonts w:ascii="Century Gothic" w:hAnsi="Century Gothic"/>
          <w:sz w:val="22"/>
          <w:szCs w:val="22"/>
        </w:rPr>
      </w:pPr>
    </w:p>
    <w:p w14:paraId="0F843CE0" w14:textId="77777777" w:rsidR="00E80CDE" w:rsidRPr="00F92EBA" w:rsidRDefault="00E80CDE" w:rsidP="00F205FA">
      <w:pPr>
        <w:widowControl w:val="0"/>
        <w:autoSpaceDE w:val="0"/>
        <w:autoSpaceDN w:val="0"/>
        <w:adjustRightInd w:val="0"/>
        <w:jc w:val="both"/>
        <w:rPr>
          <w:rFonts w:ascii="Century Gothic" w:hAnsi="Century Gothic"/>
          <w:b/>
          <w:bCs/>
          <w:sz w:val="22"/>
          <w:szCs w:val="22"/>
        </w:rPr>
      </w:pPr>
      <w:r w:rsidRPr="00F92EBA">
        <w:rPr>
          <w:rFonts w:ascii="Century Gothic" w:hAnsi="Century Gothic"/>
          <w:b/>
          <w:bCs/>
          <w:sz w:val="22"/>
          <w:szCs w:val="22"/>
        </w:rPr>
        <w:t>Outcome 2: Price and value of products and services</w:t>
      </w:r>
    </w:p>
    <w:p w14:paraId="5F2019EA" w14:textId="77777777" w:rsidR="00E80CDE" w:rsidRPr="00F92EBA" w:rsidRDefault="00E80CDE" w:rsidP="00F205FA">
      <w:pPr>
        <w:widowControl w:val="0"/>
        <w:autoSpaceDE w:val="0"/>
        <w:autoSpaceDN w:val="0"/>
        <w:adjustRightInd w:val="0"/>
        <w:jc w:val="both"/>
        <w:rPr>
          <w:rFonts w:ascii="Century Gothic" w:hAnsi="Century Gothic"/>
          <w:b/>
          <w:bCs/>
          <w:sz w:val="22"/>
          <w:szCs w:val="22"/>
        </w:rPr>
      </w:pPr>
      <w:r w:rsidRPr="00F92EBA">
        <w:rPr>
          <w:rFonts w:ascii="Century Gothic" w:hAnsi="Century Gothic"/>
          <w:b/>
          <w:bCs/>
          <w:sz w:val="22"/>
          <w:szCs w:val="22"/>
        </w:rPr>
        <w:t>  </w:t>
      </w:r>
    </w:p>
    <w:p w14:paraId="6D8F1D37"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The questions in this section are based on information in Chapter 6 of the FCA non-Handbook guidance in Appendix 2 to </w:t>
      </w:r>
      <w:hyperlink r:id="rId11" w:history="1">
        <w:r w:rsidRPr="00F92EBA">
          <w:rPr>
            <w:rFonts w:ascii="Century Gothic" w:hAnsi="Century Gothic"/>
            <w:i/>
            <w:iCs/>
            <w:sz w:val="22"/>
            <w:szCs w:val="22"/>
          </w:rPr>
          <w:t>CP21/36</w:t>
        </w:r>
      </w:hyperlink>
      <w:r w:rsidRPr="00F92EBA">
        <w:rPr>
          <w:rFonts w:ascii="Century Gothic" w:hAnsi="Century Gothic"/>
          <w:sz w:val="22"/>
          <w:szCs w:val="22"/>
        </w:rPr>
        <w:t>.</w:t>
      </w:r>
    </w:p>
    <w:p w14:paraId="3C076CCA" w14:textId="01037BAC" w:rsidR="00F92EBA" w:rsidRPr="00F92EBA" w:rsidRDefault="00E80CDE" w:rsidP="004774A0">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24C3E23C" w14:textId="0261765C" w:rsidR="00E70C85" w:rsidRPr="00F92EBA" w:rsidRDefault="00E80CDE" w:rsidP="00E70C85">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4A955210"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11"/>
        <w:gridCol w:w="3060"/>
        <w:gridCol w:w="3470"/>
        <w:gridCol w:w="3544"/>
        <w:gridCol w:w="1703"/>
        <w:gridCol w:w="1482"/>
      </w:tblGrid>
      <w:tr w:rsidR="004774A0" w:rsidRPr="00F92EBA" w14:paraId="7AB3251A" w14:textId="61E5A7A2" w:rsidTr="004774A0">
        <w:tc>
          <w:tcPr>
            <w:tcW w:w="150" w:type="pct"/>
            <w:shd w:val="clear" w:color="auto" w:fill="009193"/>
          </w:tcPr>
          <w:p w14:paraId="5D7A1A4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119" w:type="pct"/>
            <w:shd w:val="clear" w:color="auto" w:fill="009193"/>
          </w:tcPr>
          <w:p w14:paraId="304F40A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69" w:type="pct"/>
            <w:shd w:val="clear" w:color="auto" w:fill="009193"/>
          </w:tcPr>
          <w:p w14:paraId="6B6F3FB8"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25EC70E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3" w:type="pct"/>
            <w:shd w:val="clear" w:color="auto" w:fill="009193"/>
          </w:tcPr>
          <w:p w14:paraId="4F783576" w14:textId="7F077ABC"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2" w:type="pct"/>
            <w:shd w:val="clear" w:color="auto" w:fill="009193"/>
          </w:tcPr>
          <w:p w14:paraId="425CD296" w14:textId="5CFC8072"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4EDDAAFA" w14:textId="7E078B12" w:rsidTr="004774A0">
        <w:tc>
          <w:tcPr>
            <w:tcW w:w="150" w:type="pct"/>
          </w:tcPr>
          <w:p w14:paraId="45A34D9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19" w:type="pct"/>
          </w:tcPr>
          <w:p w14:paraId="24E41FC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Has the firm carried out (or is it intending to carry out) a gap analysis on </w:t>
            </w:r>
            <w:proofErr w:type="gramStart"/>
            <w:r w:rsidRPr="00F205FA">
              <w:rPr>
                <w:rFonts w:ascii="Century Gothic" w:hAnsi="Century Gothic"/>
                <w:sz w:val="20"/>
                <w:szCs w:val="20"/>
              </w:rPr>
              <w:t>all of</w:t>
            </w:r>
            <w:proofErr w:type="gramEnd"/>
            <w:r w:rsidRPr="00F205FA">
              <w:rPr>
                <w:rFonts w:ascii="Century Gothic" w:hAnsi="Century Gothic"/>
                <w:sz w:val="20"/>
                <w:szCs w:val="20"/>
              </w:rPr>
              <w:t xml:space="preserve"> its existing products/services (including closed products/services) comparing the current requirements to the proposed new requirements?</w:t>
            </w:r>
          </w:p>
        </w:tc>
        <w:tc>
          <w:tcPr>
            <w:tcW w:w="1269" w:type="pct"/>
          </w:tcPr>
          <w:p w14:paraId="5EA3D62E" w14:textId="58775B9C"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We only have one main service. All however some clients get a lighter or heavier touch version.  </w:t>
            </w:r>
          </w:p>
        </w:tc>
        <w:tc>
          <w:tcPr>
            <w:tcW w:w="1296" w:type="pct"/>
            <w:shd w:val="clear" w:color="auto" w:fill="FF7E79"/>
          </w:tcPr>
          <w:p w14:paraId="4E5C8817" w14:textId="3015ACB6" w:rsidR="004774A0" w:rsidRPr="00F205FA" w:rsidRDefault="00571652" w:rsidP="00F205FA">
            <w:pPr>
              <w:widowControl w:val="0"/>
              <w:autoSpaceDE w:val="0"/>
              <w:autoSpaceDN w:val="0"/>
              <w:adjustRightInd w:val="0"/>
              <w:jc w:val="both"/>
              <w:rPr>
                <w:rFonts w:ascii="Century Gothic" w:hAnsi="Century Gothic"/>
                <w:sz w:val="20"/>
                <w:szCs w:val="20"/>
              </w:rPr>
            </w:pPr>
            <w:r w:rsidRPr="00571652">
              <w:rPr>
                <w:rFonts w:ascii="Century Gothic" w:hAnsi="Century Gothic"/>
                <w:sz w:val="20"/>
                <w:szCs w:val="20"/>
                <w:u w:val="single"/>
              </w:rPr>
              <w:t>Action</w:t>
            </w:r>
            <w:r>
              <w:rPr>
                <w:rFonts w:ascii="Century Gothic" w:hAnsi="Century Gothic"/>
                <w:sz w:val="20"/>
                <w:szCs w:val="20"/>
              </w:rPr>
              <w:t xml:space="preserve">: </w:t>
            </w:r>
            <w:r w:rsidR="004774A0">
              <w:rPr>
                <w:rFonts w:ascii="Century Gothic" w:hAnsi="Century Gothic"/>
                <w:sz w:val="20"/>
                <w:szCs w:val="20"/>
              </w:rPr>
              <w:t>We will review our service proposition to ensure there are sufficient value separators and the price difference reflects those separators</w:t>
            </w:r>
          </w:p>
        </w:tc>
        <w:tc>
          <w:tcPr>
            <w:tcW w:w="623" w:type="pct"/>
            <w:shd w:val="clear" w:color="auto" w:fill="auto"/>
          </w:tcPr>
          <w:p w14:paraId="30674E98"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2" w:type="pct"/>
            <w:shd w:val="clear" w:color="auto" w:fill="auto"/>
          </w:tcPr>
          <w:p w14:paraId="026F35CB"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13CA59CE" w14:textId="7F6F50C8" w:rsidTr="004774A0">
        <w:tc>
          <w:tcPr>
            <w:tcW w:w="150" w:type="pct"/>
          </w:tcPr>
          <w:p w14:paraId="28F523B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19" w:type="pct"/>
          </w:tcPr>
          <w:p w14:paraId="5F691194"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as part of its regular review of a product/service, proactively assess fair value and identify potential issues and take appropriate steps if it is found not to deliver fair value?</w:t>
            </w:r>
          </w:p>
        </w:tc>
        <w:tc>
          <w:tcPr>
            <w:tcW w:w="1269" w:type="pct"/>
          </w:tcPr>
          <w:p w14:paraId="5CD447A3" w14:textId="7D5D8A59"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This is not necessary regularly. It is necessary periodically, which is what we intend to do in 25 above. We have client retention records already, which demonstrate that once in service, clients remain because we deliver value for money </w:t>
            </w:r>
          </w:p>
        </w:tc>
        <w:tc>
          <w:tcPr>
            <w:tcW w:w="1296" w:type="pct"/>
            <w:shd w:val="clear" w:color="auto" w:fill="00B0F0"/>
          </w:tcPr>
          <w:p w14:paraId="56CD0F21" w14:textId="55009356" w:rsidR="004774A0"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xml:space="preserve">: </w:t>
            </w:r>
            <w:r w:rsidR="004774A0">
              <w:rPr>
                <w:rFonts w:ascii="Century Gothic" w:hAnsi="Century Gothic"/>
                <w:color w:val="000000"/>
                <w:sz w:val="20"/>
                <w:szCs w:val="20"/>
              </w:rPr>
              <w:t xml:space="preserve">We will collect MI in the implementation period which will demonstrate that prospect approaches identify the right target market and that these prospects come on board. </w:t>
            </w:r>
          </w:p>
        </w:tc>
        <w:tc>
          <w:tcPr>
            <w:tcW w:w="623" w:type="pct"/>
            <w:shd w:val="clear" w:color="auto" w:fill="auto"/>
          </w:tcPr>
          <w:p w14:paraId="3809129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auto"/>
          </w:tcPr>
          <w:p w14:paraId="6C7B1705"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0DA1E598" w14:textId="492F103B" w:rsidTr="00571652">
        <w:tc>
          <w:tcPr>
            <w:tcW w:w="150" w:type="pct"/>
          </w:tcPr>
          <w:p w14:paraId="54E3EE21"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19" w:type="pct"/>
          </w:tcPr>
          <w:p w14:paraId="47334DF7"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distributing firm obtained sufficient, </w:t>
            </w:r>
            <w:proofErr w:type="gramStart"/>
            <w:r w:rsidRPr="00F205FA">
              <w:rPr>
                <w:rFonts w:ascii="Century Gothic" w:hAnsi="Century Gothic"/>
                <w:color w:val="000000"/>
                <w:sz w:val="20"/>
                <w:szCs w:val="20"/>
              </w:rPr>
              <w:t>adequate</w:t>
            </w:r>
            <w:proofErr w:type="gramEnd"/>
            <w:r w:rsidRPr="00F205FA">
              <w:rPr>
                <w:rFonts w:ascii="Century Gothic" w:hAnsi="Century Gothic"/>
                <w:color w:val="000000"/>
                <w:sz w:val="20"/>
                <w:szCs w:val="20"/>
              </w:rPr>
              <w:t xml:space="preserve"> and reliable information from the manufacturer on the outcome of the value assessment to enable it to understand that assessment and be satisfied that the product is providing fair value? Has the distributor </w:t>
            </w:r>
            <w:r w:rsidRPr="00F205FA">
              <w:rPr>
                <w:rFonts w:ascii="Century Gothic" w:hAnsi="Century Gothic"/>
                <w:color w:val="000000"/>
                <w:sz w:val="20"/>
                <w:szCs w:val="20"/>
              </w:rPr>
              <w:lastRenderedPageBreak/>
              <w:t>considered the following:</w:t>
            </w:r>
          </w:p>
        </w:tc>
        <w:tc>
          <w:tcPr>
            <w:tcW w:w="1269" w:type="pct"/>
            <w:shd w:val="clear" w:color="auto" w:fill="BFBFBF" w:themeFill="background1" w:themeFillShade="BF"/>
          </w:tcPr>
          <w:p w14:paraId="1642DEBD"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1E67C29E"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623" w:type="pct"/>
            <w:shd w:val="clear" w:color="auto" w:fill="BFBFBF" w:themeFill="background1" w:themeFillShade="BF"/>
          </w:tcPr>
          <w:p w14:paraId="56E11CC1"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BFBFBF" w:themeFill="background1" w:themeFillShade="BF"/>
          </w:tcPr>
          <w:p w14:paraId="2D8E7330"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6E4F7600" w14:textId="4CE5C46A" w:rsidTr="00571652">
        <w:tc>
          <w:tcPr>
            <w:tcW w:w="150" w:type="pct"/>
          </w:tcPr>
          <w:p w14:paraId="16F1A28E" w14:textId="77777777" w:rsidR="004774A0" w:rsidRPr="0003511D" w:rsidRDefault="004774A0" w:rsidP="0003511D">
            <w:pPr>
              <w:pStyle w:val="ListParagraph"/>
              <w:widowControl w:val="0"/>
              <w:numPr>
                <w:ilvl w:val="0"/>
                <w:numId w:val="9"/>
              </w:numPr>
              <w:autoSpaceDE w:val="0"/>
              <w:autoSpaceDN w:val="0"/>
              <w:adjustRightInd w:val="0"/>
              <w:jc w:val="both"/>
              <w:rPr>
                <w:rFonts w:ascii="Century Gothic" w:hAnsi="Century Gothic"/>
                <w:color w:val="000000"/>
                <w:sz w:val="20"/>
                <w:szCs w:val="20"/>
              </w:rPr>
            </w:pPr>
          </w:p>
        </w:tc>
        <w:tc>
          <w:tcPr>
            <w:tcW w:w="1119" w:type="pct"/>
          </w:tcPr>
          <w:p w14:paraId="4EF5ED1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benefits the product is intended to provide to a retail customer;</w:t>
            </w:r>
          </w:p>
        </w:tc>
        <w:tc>
          <w:tcPr>
            <w:tcW w:w="1269" w:type="pct"/>
          </w:tcPr>
          <w:p w14:paraId="4B964EF8" w14:textId="4710B4D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60606D56" w14:textId="0E4B9566"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7A4EA09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25ACF76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7FBDD27A" w14:textId="779B8BD8" w:rsidTr="00571652">
        <w:tc>
          <w:tcPr>
            <w:tcW w:w="150" w:type="pct"/>
          </w:tcPr>
          <w:p w14:paraId="796EBE34" w14:textId="5811488C" w:rsidR="004774A0" w:rsidRPr="0003511D" w:rsidRDefault="004774A0" w:rsidP="0003511D">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b.</w:t>
            </w:r>
          </w:p>
        </w:tc>
        <w:tc>
          <w:tcPr>
            <w:tcW w:w="1119" w:type="pct"/>
          </w:tcPr>
          <w:p w14:paraId="2883D9C9"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characteristics, objectives and needs of the target market;</w:t>
            </w:r>
          </w:p>
        </w:tc>
        <w:tc>
          <w:tcPr>
            <w:tcW w:w="1269" w:type="pct"/>
          </w:tcPr>
          <w:p w14:paraId="6546C876" w14:textId="0DE24C68"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through our proposition</w:t>
            </w:r>
          </w:p>
        </w:tc>
        <w:tc>
          <w:tcPr>
            <w:tcW w:w="1296" w:type="pct"/>
            <w:shd w:val="clear" w:color="auto" w:fill="D883FF"/>
          </w:tcPr>
          <w:p w14:paraId="67854BE7" w14:textId="37BFEDC2"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10C84C8F"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2550D97A"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89F3A57" w14:textId="29B3E87A" w:rsidTr="00571652">
        <w:tc>
          <w:tcPr>
            <w:tcW w:w="150" w:type="pct"/>
          </w:tcPr>
          <w:p w14:paraId="3040924D"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color w:val="000000"/>
                <w:sz w:val="20"/>
                <w:szCs w:val="20"/>
              </w:rPr>
            </w:pPr>
          </w:p>
        </w:tc>
        <w:tc>
          <w:tcPr>
            <w:tcW w:w="1119" w:type="pct"/>
          </w:tcPr>
          <w:p w14:paraId="383950BE"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interaction between the price paid by the retail customer and the extent and quality of any services provided by the distributor; and</w:t>
            </w:r>
          </w:p>
          <w:p w14:paraId="09DB486B"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whether any remuneration the distributor receives in relation to the product would result in the product ceasing to provide fair value to the retail customer?</w:t>
            </w:r>
          </w:p>
        </w:tc>
        <w:tc>
          <w:tcPr>
            <w:tcW w:w="1269" w:type="pct"/>
          </w:tcPr>
          <w:p w14:paraId="3C75D79C" w14:textId="10F0172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We receive nothing for distributing the product. Clients pay for the product, </w:t>
            </w:r>
            <w:proofErr w:type="gramStart"/>
            <w:r>
              <w:rPr>
                <w:rFonts w:ascii="Century Gothic" w:hAnsi="Century Gothic"/>
                <w:color w:val="000000"/>
                <w:sz w:val="20"/>
                <w:szCs w:val="20"/>
              </w:rPr>
              <w:t>investments</w:t>
            </w:r>
            <w:proofErr w:type="gramEnd"/>
            <w:r>
              <w:rPr>
                <w:rFonts w:ascii="Century Gothic" w:hAnsi="Century Gothic"/>
                <w:color w:val="000000"/>
                <w:sz w:val="20"/>
                <w:szCs w:val="20"/>
              </w:rPr>
              <w:t xml:space="preserve"> and advice services.</w:t>
            </w:r>
          </w:p>
        </w:tc>
        <w:tc>
          <w:tcPr>
            <w:tcW w:w="1296" w:type="pct"/>
            <w:shd w:val="clear" w:color="auto" w:fill="D883FF"/>
          </w:tcPr>
          <w:p w14:paraId="0FDD51FE" w14:textId="3055164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4ACB591F"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75EA4AE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4F8DF6DE" w14:textId="760DC387" w:rsidR="00E80CDE" w:rsidRDefault="00E80CDE" w:rsidP="00F92EBA">
      <w:pPr>
        <w:widowControl w:val="0"/>
        <w:autoSpaceDE w:val="0"/>
        <w:autoSpaceDN w:val="0"/>
        <w:adjustRightInd w:val="0"/>
        <w:jc w:val="both"/>
        <w:rPr>
          <w:rFonts w:ascii="Century Gothic" w:hAnsi="Century Gothic"/>
          <w:color w:val="3D3D3D"/>
          <w:sz w:val="20"/>
          <w:szCs w:val="20"/>
        </w:rPr>
      </w:pPr>
    </w:p>
    <w:p w14:paraId="09130716" w14:textId="77777777" w:rsidR="00F92EBA" w:rsidRPr="00F92EBA" w:rsidRDefault="00F92EBA" w:rsidP="00F92EBA">
      <w:pPr>
        <w:widowControl w:val="0"/>
        <w:autoSpaceDE w:val="0"/>
        <w:autoSpaceDN w:val="0"/>
        <w:adjustRightInd w:val="0"/>
        <w:jc w:val="both"/>
        <w:rPr>
          <w:rFonts w:ascii="Century Gothic" w:hAnsi="Century Gothic"/>
          <w:color w:val="3D3D3D"/>
          <w:sz w:val="22"/>
          <w:szCs w:val="22"/>
        </w:rPr>
      </w:pPr>
    </w:p>
    <w:p w14:paraId="144485A2"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Avoiding foreseeable harm</w:t>
      </w:r>
    </w:p>
    <w:p w14:paraId="23C7494E"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15"/>
        <w:gridCol w:w="2999"/>
        <w:gridCol w:w="3545"/>
        <w:gridCol w:w="3537"/>
        <w:gridCol w:w="1695"/>
        <w:gridCol w:w="1479"/>
      </w:tblGrid>
      <w:tr w:rsidR="004774A0" w:rsidRPr="00F92EBA" w14:paraId="3C7D534C" w14:textId="47680F96" w:rsidTr="008071B5">
        <w:tc>
          <w:tcPr>
            <w:tcW w:w="154" w:type="pct"/>
            <w:shd w:val="clear" w:color="auto" w:fill="009193"/>
          </w:tcPr>
          <w:p w14:paraId="2F540AAE"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086" w:type="pct"/>
            <w:shd w:val="clear" w:color="auto" w:fill="009193"/>
          </w:tcPr>
          <w:p w14:paraId="462A8AC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691ADEC4"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46E0E350"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499A2435" w14:textId="4E909933"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E2AD4F7" w14:textId="1C521ADD"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5957891F" w14:textId="4C390203" w:rsidTr="00571652">
        <w:tc>
          <w:tcPr>
            <w:tcW w:w="154" w:type="pct"/>
          </w:tcPr>
          <w:p w14:paraId="2EF15F48"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CE10A5F"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the reasonableness of its </w:t>
            </w:r>
            <w:r w:rsidRPr="00F205FA">
              <w:rPr>
                <w:rFonts w:ascii="Century Gothic" w:hAnsi="Century Gothic"/>
                <w:color w:val="000000"/>
                <w:sz w:val="20"/>
                <w:szCs w:val="20"/>
              </w:rPr>
              <w:lastRenderedPageBreak/>
              <w:t xml:space="preserve">product/service range and whether each product/service provides fair value to the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the target market?</w:t>
            </w:r>
          </w:p>
        </w:tc>
        <w:tc>
          <w:tcPr>
            <w:tcW w:w="1299" w:type="pct"/>
          </w:tcPr>
          <w:p w14:paraId="6057C7B6" w14:textId="285A779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Yes – we have reviewed the client life cycle and applied typical </w:t>
            </w:r>
            <w:r>
              <w:rPr>
                <w:rFonts w:ascii="Century Gothic" w:hAnsi="Century Gothic"/>
                <w:color w:val="000000"/>
                <w:sz w:val="20"/>
                <w:szCs w:val="20"/>
              </w:rPr>
              <w:lastRenderedPageBreak/>
              <w:t>products against that. In turn our product (new and ongoing) due diligence considers the product features relative to the client cohort.</w:t>
            </w:r>
          </w:p>
        </w:tc>
        <w:tc>
          <w:tcPr>
            <w:tcW w:w="1296" w:type="pct"/>
            <w:shd w:val="clear" w:color="auto" w:fill="D883FF"/>
          </w:tcPr>
          <w:p w14:paraId="22956BDC" w14:textId="64CE724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622" w:type="pct"/>
            <w:shd w:val="clear" w:color="auto" w:fill="D883FF"/>
          </w:tcPr>
          <w:p w14:paraId="793AFA52"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20F17B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05938C07" w14:textId="580D8D2A" w:rsidTr="00571652">
        <w:tc>
          <w:tcPr>
            <w:tcW w:w="154" w:type="pct"/>
          </w:tcPr>
          <w:p w14:paraId="0E345EEE"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0A2A7CD2"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carried out a value assessment of each of its products/services and does it have evidence of this? Does the firm’s value assessment include, for example and as applicable, the following:</w:t>
            </w:r>
          </w:p>
        </w:tc>
        <w:tc>
          <w:tcPr>
            <w:tcW w:w="1299" w:type="pct"/>
            <w:shd w:val="clear" w:color="auto" w:fill="BFBFBF" w:themeFill="background1" w:themeFillShade="BF"/>
          </w:tcPr>
          <w:p w14:paraId="1B034C26"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688D08B2"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622" w:type="pct"/>
            <w:shd w:val="clear" w:color="auto" w:fill="BFBFBF" w:themeFill="background1" w:themeFillShade="BF"/>
          </w:tcPr>
          <w:p w14:paraId="728C02DD"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1AED5B41"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1610F792" w14:textId="1ED27BAC" w:rsidTr="00571652">
        <w:tc>
          <w:tcPr>
            <w:tcW w:w="154" w:type="pct"/>
          </w:tcPr>
          <w:p w14:paraId="086FA996"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3EC98615"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expected total price customers will pay, including all applicable fees and charges over the lifetime of the relationship between the customer and the firm;</w:t>
            </w:r>
          </w:p>
        </w:tc>
        <w:tc>
          <w:tcPr>
            <w:tcW w:w="1299" w:type="pct"/>
          </w:tcPr>
          <w:p w14:paraId="54299C02" w14:textId="1AE44285"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(we </w:t>
            </w:r>
            <w:proofErr w:type="gramStart"/>
            <w:r>
              <w:rPr>
                <w:rFonts w:ascii="Century Gothic" w:hAnsi="Century Gothic"/>
                <w:color w:val="000000"/>
                <w:sz w:val="20"/>
                <w:szCs w:val="20"/>
              </w:rPr>
              <w:t>have to</w:t>
            </w:r>
            <w:proofErr w:type="gramEnd"/>
            <w:r>
              <w:rPr>
                <w:rFonts w:ascii="Century Gothic" w:hAnsi="Century Gothic"/>
                <w:color w:val="000000"/>
                <w:sz w:val="20"/>
                <w:szCs w:val="20"/>
              </w:rPr>
              <w:t>- it’s a regulatory requirement)</w:t>
            </w:r>
          </w:p>
        </w:tc>
        <w:tc>
          <w:tcPr>
            <w:tcW w:w="1296" w:type="pct"/>
            <w:shd w:val="clear" w:color="auto" w:fill="D883FF"/>
          </w:tcPr>
          <w:p w14:paraId="5B52E466" w14:textId="48CAD3E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1EB3657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BDF2BA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409F0D2B" w14:textId="0B9AB263" w:rsidTr="00571652">
        <w:tc>
          <w:tcPr>
            <w:tcW w:w="154" w:type="pct"/>
          </w:tcPr>
          <w:p w14:paraId="23F65FB4"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3DC230B1"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costs firms incur to manufacture and/or distribute the product/service, including the cost of funding (for example, for loans). Firms also need to consider whether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will incur non-financial </w:t>
            </w:r>
            <w:r w:rsidRPr="00F205FA">
              <w:rPr>
                <w:rFonts w:ascii="Century Gothic" w:hAnsi="Century Gothic"/>
                <w:color w:val="000000"/>
                <w:sz w:val="20"/>
                <w:szCs w:val="20"/>
              </w:rPr>
              <w:lastRenderedPageBreak/>
              <w:t xml:space="preserve">costs (for example, the time and effort it takes to access, assess and act to buy, amend, </w:t>
            </w:r>
            <w:proofErr w:type="gramStart"/>
            <w:r w:rsidRPr="00F205FA">
              <w:rPr>
                <w:rFonts w:ascii="Century Gothic" w:hAnsi="Century Gothic"/>
                <w:color w:val="000000"/>
                <w:sz w:val="20"/>
                <w:szCs w:val="20"/>
              </w:rPr>
              <w:t>switch</w:t>
            </w:r>
            <w:proofErr w:type="gramEnd"/>
            <w:r w:rsidRPr="00F205FA">
              <w:rPr>
                <w:rFonts w:ascii="Century Gothic" w:hAnsi="Century Gothic"/>
                <w:color w:val="000000"/>
                <w:sz w:val="20"/>
                <w:szCs w:val="20"/>
              </w:rPr>
              <w:t xml:space="preserve"> or cancel a product, or firms’ use of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data where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knowingly or unknowingly “pay” with their data, privacy or attention);</w:t>
            </w:r>
          </w:p>
        </w:tc>
        <w:tc>
          <w:tcPr>
            <w:tcW w:w="1299" w:type="pct"/>
          </w:tcPr>
          <w:p w14:paraId="5DD2C7E5" w14:textId="5F7C4144"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Our costs to consumers are commensurate with our profits, which pre-distribution amount to ±30%. This is reasonable and allow us to have an adequate regulatory capital buffer and still compensate our stakeholders adequately for the risks they are taking as stakeholders. We do not gear, which would indicate an inadequacy in our financial business model. We do however suffer non-financial costs on behalf of our clients, in respect of </w:t>
            </w:r>
            <w:r>
              <w:rPr>
                <w:rFonts w:ascii="Century Gothic" w:hAnsi="Century Gothic"/>
                <w:color w:val="000000"/>
                <w:sz w:val="20"/>
                <w:szCs w:val="20"/>
              </w:rPr>
              <w:lastRenderedPageBreak/>
              <w:t>manufacturer barriers we cannot control</w:t>
            </w:r>
          </w:p>
        </w:tc>
        <w:tc>
          <w:tcPr>
            <w:tcW w:w="1296" w:type="pct"/>
            <w:shd w:val="clear" w:color="auto" w:fill="D883FF"/>
          </w:tcPr>
          <w:p w14:paraId="7A4B94F9" w14:textId="1EA430C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622" w:type="pct"/>
            <w:shd w:val="clear" w:color="auto" w:fill="D883FF"/>
          </w:tcPr>
          <w:p w14:paraId="72233BD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8BA3816"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65AE630" w14:textId="2B067FB5" w:rsidTr="00571652">
        <w:tc>
          <w:tcPr>
            <w:tcW w:w="154" w:type="pct"/>
          </w:tcPr>
          <w:p w14:paraId="30C8F613"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28950D5F"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market rates and charges for comparable products/services;</w:t>
            </w:r>
          </w:p>
        </w:tc>
        <w:tc>
          <w:tcPr>
            <w:tcW w:w="1299" w:type="pct"/>
          </w:tcPr>
          <w:p w14:paraId="1C207E0F" w14:textId="77777777" w:rsidR="004774A0"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We operate within a broad sector-wide cartel in terms of </w:t>
            </w:r>
            <w:proofErr w:type="gramStart"/>
            <w:r>
              <w:rPr>
                <w:rFonts w:ascii="Century Gothic" w:hAnsi="Century Gothic"/>
                <w:color w:val="000000"/>
                <w:sz w:val="20"/>
                <w:szCs w:val="20"/>
              </w:rPr>
              <w:t>pricing</w:t>
            </w:r>
            <w:proofErr w:type="gramEnd"/>
            <w:r>
              <w:rPr>
                <w:rFonts w:ascii="Century Gothic" w:hAnsi="Century Gothic"/>
                <w:color w:val="000000"/>
                <w:sz w:val="20"/>
                <w:szCs w:val="20"/>
              </w:rPr>
              <w:t xml:space="preserve"> but our fixed pricing model serves to make charging at the top end of servicing more reasonable than a pure percentage based model.</w:t>
            </w:r>
          </w:p>
          <w:p w14:paraId="792EC083" w14:textId="555AEC1A"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D883FF"/>
          </w:tcPr>
          <w:p w14:paraId="119C5AFA" w14:textId="7F02D93C"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3250CF0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35E02D2"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45A43704" w14:textId="389EF161" w:rsidTr="00571652">
        <w:tc>
          <w:tcPr>
            <w:tcW w:w="154" w:type="pct"/>
          </w:tcPr>
          <w:p w14:paraId="583D9036"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4CD23A1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possible savings from economies of scale that could be shared with customers;</w:t>
            </w:r>
          </w:p>
        </w:tc>
        <w:tc>
          <w:tcPr>
            <w:tcW w:w="1299" w:type="pct"/>
          </w:tcPr>
          <w:p w14:paraId="380C43DA" w14:textId="1B46493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operate a premium service and charge premium prices within the caveat of c. above. This means we are a low volume high margin business. This type of business typically doesn’t create economies of scale, and we are no exception.</w:t>
            </w:r>
          </w:p>
        </w:tc>
        <w:tc>
          <w:tcPr>
            <w:tcW w:w="1296" w:type="pct"/>
            <w:shd w:val="clear" w:color="auto" w:fill="D883FF"/>
          </w:tcPr>
          <w:p w14:paraId="4993C974" w14:textId="714137CC"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08D102BE"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49EEDD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E9DAED2" w14:textId="2016C4D2" w:rsidTr="00571652">
        <w:tc>
          <w:tcPr>
            <w:tcW w:w="154" w:type="pct"/>
          </w:tcPr>
          <w:p w14:paraId="47DF600E"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5F74DD7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possible returns from investment products/services;</w:t>
            </w:r>
          </w:p>
        </w:tc>
        <w:tc>
          <w:tcPr>
            <w:tcW w:w="1299" w:type="pct"/>
          </w:tcPr>
          <w:p w14:paraId="2161ED89" w14:textId="09092A0F"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Our business model and investment philosophy </w:t>
            </w:r>
            <w:proofErr w:type="gramStart"/>
            <w:r>
              <w:rPr>
                <w:rFonts w:ascii="Century Gothic" w:hAnsi="Century Gothic"/>
                <w:color w:val="000000"/>
                <w:sz w:val="20"/>
                <w:szCs w:val="20"/>
              </w:rPr>
              <w:t>is</w:t>
            </w:r>
            <w:proofErr w:type="gramEnd"/>
            <w:r>
              <w:rPr>
                <w:rFonts w:ascii="Century Gothic" w:hAnsi="Century Gothic"/>
                <w:color w:val="000000"/>
                <w:sz w:val="20"/>
                <w:szCs w:val="20"/>
              </w:rPr>
              <w:t xml:space="preserve"> premised on efficient markets. Under these conditions we do not attempt to, nor believe there is a viable method of, acquiring </w:t>
            </w:r>
            <w:proofErr w:type="gramStart"/>
            <w:r>
              <w:rPr>
                <w:rFonts w:ascii="Century Gothic" w:hAnsi="Century Gothic"/>
                <w:color w:val="000000"/>
                <w:sz w:val="20"/>
                <w:szCs w:val="20"/>
              </w:rPr>
              <w:t>non market</w:t>
            </w:r>
            <w:proofErr w:type="gramEnd"/>
            <w:r>
              <w:rPr>
                <w:rFonts w:ascii="Century Gothic" w:hAnsi="Century Gothic"/>
                <w:color w:val="000000"/>
                <w:sz w:val="20"/>
                <w:szCs w:val="20"/>
              </w:rPr>
              <w:t xml:space="preserve"> related returns, either for ourselves, or </w:t>
            </w:r>
            <w:proofErr w:type="spellStart"/>
            <w:r>
              <w:rPr>
                <w:rFonts w:ascii="Century Gothic" w:hAnsi="Century Gothic"/>
                <w:color w:val="000000"/>
                <w:sz w:val="20"/>
                <w:szCs w:val="20"/>
              </w:rPr>
              <w:t>a</w:t>
            </w:r>
            <w:proofErr w:type="spellEnd"/>
            <w:r>
              <w:rPr>
                <w:rFonts w:ascii="Century Gothic" w:hAnsi="Century Gothic"/>
                <w:color w:val="000000"/>
                <w:sz w:val="20"/>
                <w:szCs w:val="20"/>
              </w:rPr>
              <w:t xml:space="preserve"> our clients</w:t>
            </w:r>
          </w:p>
        </w:tc>
        <w:tc>
          <w:tcPr>
            <w:tcW w:w="1296" w:type="pct"/>
            <w:shd w:val="clear" w:color="auto" w:fill="D883FF"/>
          </w:tcPr>
          <w:p w14:paraId="44E2748A" w14:textId="3922A26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4D2BF9F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48967DC"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7B10B4B5" w14:textId="466225E8" w:rsidTr="00571652">
        <w:tc>
          <w:tcPr>
            <w:tcW w:w="154" w:type="pct"/>
          </w:tcPr>
          <w:p w14:paraId="42487C37"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71D22038"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assumptions on </w:t>
            </w:r>
            <w:r w:rsidRPr="00F205FA">
              <w:rPr>
                <w:rFonts w:ascii="Century Gothic" w:hAnsi="Century Gothic"/>
                <w:color w:val="000000"/>
                <w:sz w:val="20"/>
                <w:szCs w:val="20"/>
              </w:rPr>
              <w:lastRenderedPageBreak/>
              <w:t>credit or other risk the firm is exposed to; and</w:t>
            </w:r>
          </w:p>
        </w:tc>
        <w:tc>
          <w:tcPr>
            <w:tcW w:w="1299" w:type="pct"/>
          </w:tcPr>
          <w:p w14:paraId="252B072C" w14:textId="54712E7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Not applicable for us</w:t>
            </w:r>
          </w:p>
        </w:tc>
        <w:tc>
          <w:tcPr>
            <w:tcW w:w="1296" w:type="pct"/>
            <w:shd w:val="clear" w:color="auto" w:fill="D883FF"/>
          </w:tcPr>
          <w:p w14:paraId="7EBEDC27" w14:textId="18E9D155"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148F39A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E551DF5"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28BAE473" w14:textId="626B1053" w:rsidTr="00571652">
        <w:tc>
          <w:tcPr>
            <w:tcW w:w="154" w:type="pct"/>
          </w:tcPr>
          <w:p w14:paraId="4AF17D5D"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2D632B22"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any limitations to the products/services?</w:t>
            </w:r>
          </w:p>
        </w:tc>
        <w:tc>
          <w:tcPr>
            <w:tcW w:w="1299" w:type="pct"/>
          </w:tcPr>
          <w:p w14:paraId="507A82BB" w14:textId="01AED80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Service limits exist but these are driven by our business model proposition. Potential clients are made aware of these limits before engaging. Products as indicated elsewhere, do have limitations, but these are pre-defined by before we go to market to select products for our client cohort</w:t>
            </w:r>
          </w:p>
        </w:tc>
        <w:tc>
          <w:tcPr>
            <w:tcW w:w="1296" w:type="pct"/>
            <w:shd w:val="clear" w:color="auto" w:fill="D883FF"/>
          </w:tcPr>
          <w:p w14:paraId="06F60F70" w14:textId="69BA515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79D7910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05E359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217DB737" w14:textId="7939C75A" w:rsidTr="00571652">
        <w:tc>
          <w:tcPr>
            <w:tcW w:w="154" w:type="pct"/>
          </w:tcPr>
          <w:p w14:paraId="24DAE26D"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7C2D307B"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benefits received by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and the usefulness of the product/service to them. Characteristics such as the quality of the product/service, level of customer service, potential pay-out or return, suitability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needs, or other features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find valuable, all determine the benefit in relation to which the price of the product/service should be assessed;</w:t>
            </w:r>
          </w:p>
        </w:tc>
        <w:tc>
          <w:tcPr>
            <w:tcW w:w="1299" w:type="pct"/>
          </w:tcPr>
          <w:p w14:paraId="6CA9EA6C" w14:textId="0BADC68A"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Our service is predicated on financial planning. This is a service which is very transparent to prospective clients because it is represented to them as our </w:t>
            </w:r>
            <w:proofErr w:type="spellStart"/>
            <w:r>
              <w:rPr>
                <w:rFonts w:ascii="Century Gothic" w:hAnsi="Century Gothic"/>
                <w:color w:val="000000"/>
                <w:sz w:val="20"/>
                <w:szCs w:val="20"/>
              </w:rPr>
              <w:t>usp</w:t>
            </w:r>
            <w:proofErr w:type="spellEnd"/>
            <w:r>
              <w:rPr>
                <w:rFonts w:ascii="Century Gothic" w:hAnsi="Century Gothic"/>
                <w:color w:val="000000"/>
                <w:sz w:val="20"/>
                <w:szCs w:val="20"/>
              </w:rPr>
              <w:t>. Potential clients, and subsequently clients, find the existence of a financial track to run on in perpetuity very value enhancing. Adding efficiencies through tax and costs are also value adding, although potentially less seen by clients</w:t>
            </w:r>
          </w:p>
        </w:tc>
        <w:tc>
          <w:tcPr>
            <w:tcW w:w="1296" w:type="pct"/>
            <w:shd w:val="clear" w:color="auto" w:fill="00B0F0"/>
          </w:tcPr>
          <w:p w14:paraId="4D93284C" w14:textId="421E6AEC" w:rsidR="004774A0"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4774A0">
              <w:rPr>
                <w:rFonts w:ascii="Century Gothic" w:hAnsi="Century Gothic"/>
                <w:color w:val="000000"/>
                <w:sz w:val="20"/>
                <w:szCs w:val="20"/>
              </w:rPr>
              <w:t xml:space="preserve">It would be valuable for us to create a </w:t>
            </w:r>
            <w:r>
              <w:rPr>
                <w:rFonts w:ascii="Century Gothic" w:hAnsi="Century Gothic"/>
                <w:color w:val="000000"/>
                <w:sz w:val="20"/>
                <w:szCs w:val="20"/>
              </w:rPr>
              <w:t>value-add</w:t>
            </w:r>
            <w:r w:rsidR="004774A0">
              <w:rPr>
                <w:rFonts w:ascii="Century Gothic" w:hAnsi="Century Gothic"/>
                <w:color w:val="000000"/>
                <w:sz w:val="20"/>
                <w:szCs w:val="20"/>
              </w:rPr>
              <w:t xml:space="preserve"> map for clients (and us as service standards). This would help us with onboarding </w:t>
            </w:r>
            <w:proofErr w:type="gramStart"/>
            <w:r w:rsidR="004774A0">
              <w:rPr>
                <w:rFonts w:ascii="Century Gothic" w:hAnsi="Century Gothic"/>
                <w:color w:val="000000"/>
                <w:sz w:val="20"/>
                <w:szCs w:val="20"/>
              </w:rPr>
              <w:t>and also</w:t>
            </w:r>
            <w:proofErr w:type="gramEnd"/>
            <w:r w:rsidR="004774A0">
              <w:rPr>
                <w:rFonts w:ascii="Century Gothic" w:hAnsi="Century Gothic"/>
                <w:color w:val="000000"/>
                <w:sz w:val="20"/>
                <w:szCs w:val="20"/>
              </w:rPr>
              <w:t xml:space="preserve"> in ensuring we deliver to mandate.</w:t>
            </w:r>
          </w:p>
        </w:tc>
        <w:tc>
          <w:tcPr>
            <w:tcW w:w="622" w:type="pct"/>
            <w:shd w:val="clear" w:color="auto" w:fill="auto"/>
            <w:vAlign w:val="center"/>
          </w:tcPr>
          <w:p w14:paraId="719C1E0D" w14:textId="0B6FE8E0" w:rsidR="004774A0" w:rsidRDefault="004774A0" w:rsidP="00571652">
            <w:pPr>
              <w:widowControl w:val="0"/>
              <w:autoSpaceDE w:val="0"/>
              <w:autoSpaceDN w:val="0"/>
              <w:adjustRightInd w:val="0"/>
              <w:jc w:val="center"/>
              <w:rPr>
                <w:rFonts w:ascii="Century Gothic" w:hAnsi="Century Gothic"/>
                <w:color w:val="000000"/>
                <w:sz w:val="20"/>
                <w:szCs w:val="20"/>
              </w:rPr>
            </w:pPr>
          </w:p>
        </w:tc>
        <w:tc>
          <w:tcPr>
            <w:tcW w:w="543" w:type="pct"/>
            <w:shd w:val="clear" w:color="auto" w:fill="auto"/>
          </w:tcPr>
          <w:p w14:paraId="38A1B31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5556F649" w14:textId="2E5F7841" w:rsidTr="00A71C53">
        <w:tc>
          <w:tcPr>
            <w:tcW w:w="154" w:type="pct"/>
          </w:tcPr>
          <w:p w14:paraId="6EEA770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3E4E3F1"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When carrying out a product/service value assessment, has the firm collected and analysed appropriate management information (MI)? Relevant MI could include data from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surveys and relevant complaints data.</w:t>
            </w:r>
          </w:p>
        </w:tc>
        <w:tc>
          <w:tcPr>
            <w:tcW w:w="1299" w:type="pct"/>
          </w:tcPr>
          <w:p w14:paraId="6F096865" w14:textId="373F159A"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collect complaints data (which is statistically negligible). We don’t conduct client surveys.</w:t>
            </w:r>
          </w:p>
        </w:tc>
        <w:tc>
          <w:tcPr>
            <w:tcW w:w="1296" w:type="pct"/>
            <w:shd w:val="clear" w:color="auto" w:fill="FFFF00"/>
          </w:tcPr>
          <w:p w14:paraId="4887521B" w14:textId="77777777" w:rsidR="004774A0"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4774A0">
              <w:rPr>
                <w:rFonts w:ascii="Century Gothic" w:hAnsi="Century Gothic"/>
                <w:color w:val="000000"/>
                <w:sz w:val="20"/>
                <w:szCs w:val="20"/>
              </w:rPr>
              <w:t>We don’t like the idea of client surveys because our PI insurers don’t either. Furthermore, we believe this is an inefficient and inaccurate assessment of quality / value for money. However, we do believe that on reflection, asking value add questions at annual review is good MI and we will roll this out through the implementation period.</w:t>
            </w:r>
          </w:p>
          <w:p w14:paraId="5E2ABC38" w14:textId="77777777" w:rsidR="00571652" w:rsidRDefault="00571652" w:rsidP="00F205FA">
            <w:pPr>
              <w:widowControl w:val="0"/>
              <w:autoSpaceDE w:val="0"/>
              <w:autoSpaceDN w:val="0"/>
              <w:adjustRightInd w:val="0"/>
              <w:jc w:val="both"/>
              <w:rPr>
                <w:rFonts w:ascii="Century Gothic" w:hAnsi="Century Gothic"/>
                <w:color w:val="000000"/>
                <w:sz w:val="20"/>
                <w:szCs w:val="20"/>
              </w:rPr>
            </w:pPr>
          </w:p>
          <w:p w14:paraId="56F6CE58" w14:textId="77B08C6C" w:rsidR="00571652"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Outcome</w:t>
            </w:r>
            <w:r>
              <w:rPr>
                <w:rFonts w:ascii="Century Gothic" w:hAnsi="Century Gothic"/>
                <w:color w:val="000000"/>
                <w:sz w:val="20"/>
                <w:szCs w:val="20"/>
              </w:rPr>
              <w:t>: We will add the question “what could we do better to our annual reviews” with immediate effect and collect that information.</w:t>
            </w:r>
          </w:p>
        </w:tc>
        <w:tc>
          <w:tcPr>
            <w:tcW w:w="622" w:type="pct"/>
            <w:shd w:val="clear" w:color="auto" w:fill="auto"/>
            <w:vAlign w:val="center"/>
          </w:tcPr>
          <w:p w14:paraId="7D3005D7" w14:textId="479C38D4" w:rsidR="004774A0" w:rsidRDefault="00571652"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28/2/23</w:t>
            </w:r>
          </w:p>
        </w:tc>
        <w:tc>
          <w:tcPr>
            <w:tcW w:w="543" w:type="pct"/>
            <w:shd w:val="clear" w:color="auto" w:fill="auto"/>
          </w:tcPr>
          <w:p w14:paraId="1F9530BA"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0AD9393" w14:textId="397B249D" w:rsidTr="00F54A90">
        <w:tc>
          <w:tcPr>
            <w:tcW w:w="154" w:type="pct"/>
          </w:tcPr>
          <w:p w14:paraId="04333314"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B3B309A"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considered if there are any characteristics of vulnerability in the target market for the product/service?</w:t>
            </w:r>
          </w:p>
        </w:tc>
        <w:tc>
          <w:tcPr>
            <w:tcW w:w="1299" w:type="pct"/>
          </w:tcPr>
          <w:p w14:paraId="68C44F79" w14:textId="1C7BC90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Not directly, but the due diligence process in introducing products to clients ensures, as far as possible, that systematic vulnerabilities do </w:t>
            </w:r>
            <w:proofErr w:type="gramStart"/>
            <w:r>
              <w:rPr>
                <w:rFonts w:ascii="Century Gothic" w:hAnsi="Century Gothic"/>
                <w:color w:val="000000"/>
                <w:sz w:val="20"/>
                <w:szCs w:val="20"/>
              </w:rPr>
              <w:t>no</w:t>
            </w:r>
            <w:proofErr w:type="gramEnd"/>
            <w:r>
              <w:rPr>
                <w:rFonts w:ascii="Century Gothic" w:hAnsi="Century Gothic"/>
                <w:color w:val="000000"/>
                <w:sz w:val="20"/>
                <w:szCs w:val="20"/>
              </w:rPr>
              <w:t xml:space="preserve"> find their way into our system</w:t>
            </w:r>
          </w:p>
        </w:tc>
        <w:tc>
          <w:tcPr>
            <w:tcW w:w="1296" w:type="pct"/>
            <w:shd w:val="clear" w:color="auto" w:fill="D883FF"/>
          </w:tcPr>
          <w:p w14:paraId="4E29B264" w14:textId="45A88C1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2B857EA6"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4387B18"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1FCAE195" w14:textId="45D71C50" w:rsidTr="00F54A90">
        <w:tc>
          <w:tcPr>
            <w:tcW w:w="154" w:type="pct"/>
          </w:tcPr>
          <w:p w14:paraId="0E0341CD"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2E000F52"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whether changes to the benefits of the products/services have any significant impact on fair value to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the target market? If they are poor value, does the firm withdraw or amend products/services?</w:t>
            </w:r>
          </w:p>
        </w:tc>
        <w:tc>
          <w:tcPr>
            <w:tcW w:w="1299" w:type="pct"/>
          </w:tcPr>
          <w:p w14:paraId="535878F5" w14:textId="082B018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annual due diligence</w:t>
            </w:r>
          </w:p>
        </w:tc>
        <w:tc>
          <w:tcPr>
            <w:tcW w:w="1296" w:type="pct"/>
            <w:shd w:val="clear" w:color="auto" w:fill="D883FF"/>
          </w:tcPr>
          <w:p w14:paraId="04252361" w14:textId="3F7CC8DB"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4D35FD3E"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86605AC"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453CE473" w14:textId="5216CBCD" w:rsidR="00E80CDE" w:rsidRDefault="00E80CDE" w:rsidP="00F92EBA">
      <w:pPr>
        <w:widowControl w:val="0"/>
        <w:autoSpaceDE w:val="0"/>
        <w:autoSpaceDN w:val="0"/>
        <w:adjustRightInd w:val="0"/>
        <w:jc w:val="both"/>
        <w:rPr>
          <w:rFonts w:ascii="Century Gothic" w:hAnsi="Century Gothic"/>
          <w:color w:val="0E568C"/>
          <w:sz w:val="20"/>
          <w:szCs w:val="20"/>
        </w:rPr>
      </w:pPr>
    </w:p>
    <w:p w14:paraId="4F9545D9" w14:textId="77777777" w:rsidR="00F92EBA" w:rsidRPr="00F205FA" w:rsidRDefault="00F92EBA" w:rsidP="00F92EBA">
      <w:pPr>
        <w:widowControl w:val="0"/>
        <w:autoSpaceDE w:val="0"/>
        <w:autoSpaceDN w:val="0"/>
        <w:adjustRightInd w:val="0"/>
        <w:jc w:val="both"/>
        <w:rPr>
          <w:rFonts w:ascii="Century Gothic" w:hAnsi="Century Gothic"/>
          <w:color w:val="0E568C"/>
          <w:sz w:val="20"/>
          <w:szCs w:val="20"/>
        </w:rPr>
      </w:pPr>
    </w:p>
    <w:p w14:paraId="4C14E904"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Enabling and supporting retail customers to pursue their financial </w:t>
      </w:r>
      <w:proofErr w:type="gramStart"/>
      <w:r w:rsidRPr="00F92EBA">
        <w:rPr>
          <w:rFonts w:ascii="Century Gothic" w:hAnsi="Century Gothic"/>
          <w:sz w:val="22"/>
          <w:szCs w:val="22"/>
        </w:rPr>
        <w:t>objectives</w:t>
      </w:r>
      <w:proofErr w:type="gramEnd"/>
    </w:p>
    <w:p w14:paraId="593C251B"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21"/>
        <w:gridCol w:w="2969"/>
        <w:gridCol w:w="3551"/>
        <w:gridCol w:w="3543"/>
        <w:gridCol w:w="1701"/>
        <w:gridCol w:w="1485"/>
      </w:tblGrid>
      <w:tr w:rsidR="004774A0" w:rsidRPr="00F92EBA" w14:paraId="061E3772" w14:textId="5646C21E" w:rsidTr="008071B5">
        <w:tc>
          <w:tcPr>
            <w:tcW w:w="154" w:type="pct"/>
            <w:shd w:val="clear" w:color="auto" w:fill="009193"/>
          </w:tcPr>
          <w:p w14:paraId="736850C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086" w:type="pct"/>
            <w:shd w:val="clear" w:color="auto" w:fill="009193"/>
          </w:tcPr>
          <w:p w14:paraId="03F0BA1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451EDFB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4C7A2D0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702C6751" w14:textId="5C1F6D86"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391EF5B" w14:textId="3CB98E6A"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3A2CE6A6" w14:textId="40987CEE" w:rsidTr="00F54A90">
        <w:tc>
          <w:tcPr>
            <w:tcW w:w="154" w:type="pct"/>
          </w:tcPr>
          <w:p w14:paraId="5041B1FB"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0355D26A"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Where the firm has different charges for different groups of customers, do customers in all groups receive fair value? Is there a reasonable relationship between the benefits customers are likely to receive and the price they pay for the product/service?</w:t>
            </w:r>
          </w:p>
        </w:tc>
        <w:tc>
          <w:tcPr>
            <w:tcW w:w="1299" w:type="pct"/>
          </w:tcPr>
          <w:p w14:paraId="0E75D306" w14:textId="6624229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don’t. this question doesn’t apply</w:t>
            </w:r>
          </w:p>
        </w:tc>
        <w:tc>
          <w:tcPr>
            <w:tcW w:w="1296" w:type="pct"/>
            <w:shd w:val="clear" w:color="auto" w:fill="D883FF"/>
          </w:tcPr>
          <w:p w14:paraId="592D4E97" w14:textId="34A2F76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633AFE68"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4FD8E8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69385C05" w14:textId="77777777" w:rsidR="004774A0" w:rsidRDefault="004774A0" w:rsidP="00F205FA">
      <w:pPr>
        <w:widowControl w:val="0"/>
        <w:autoSpaceDE w:val="0"/>
        <w:autoSpaceDN w:val="0"/>
        <w:adjustRightInd w:val="0"/>
        <w:spacing w:before="160"/>
        <w:jc w:val="both"/>
        <w:rPr>
          <w:rFonts w:ascii="Century Gothic" w:hAnsi="Century Gothic"/>
          <w:color w:val="3D3D3D"/>
          <w:sz w:val="20"/>
          <w:szCs w:val="20"/>
        </w:rPr>
      </w:pPr>
    </w:p>
    <w:p w14:paraId="4D66FF7E"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0597E8F1"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05AB7929"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20682CB6"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6914DEFB"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58186ED2"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75043F23"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68078768"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3D2934F6"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4598C721"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348A8926"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5F014B2A"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49CC8441"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2E06DA6A"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3BC927B8"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0D379454" w14:textId="77777777" w:rsidR="00F17736" w:rsidRDefault="00F17736" w:rsidP="00F205FA">
      <w:pPr>
        <w:widowControl w:val="0"/>
        <w:autoSpaceDE w:val="0"/>
        <w:autoSpaceDN w:val="0"/>
        <w:adjustRightInd w:val="0"/>
        <w:spacing w:before="160"/>
        <w:jc w:val="both"/>
        <w:rPr>
          <w:rFonts w:ascii="Century Gothic" w:hAnsi="Century Gothic"/>
          <w:color w:val="3D3D3D"/>
          <w:sz w:val="20"/>
          <w:szCs w:val="20"/>
        </w:rPr>
      </w:pPr>
    </w:p>
    <w:p w14:paraId="75CFB32D" w14:textId="77777777" w:rsidR="00F17736" w:rsidRPr="00F205FA" w:rsidRDefault="00F17736" w:rsidP="00F205FA">
      <w:pPr>
        <w:widowControl w:val="0"/>
        <w:autoSpaceDE w:val="0"/>
        <w:autoSpaceDN w:val="0"/>
        <w:adjustRightInd w:val="0"/>
        <w:spacing w:before="160"/>
        <w:jc w:val="both"/>
        <w:rPr>
          <w:rFonts w:ascii="Century Gothic" w:hAnsi="Century Gothic"/>
          <w:color w:val="3D3D3D"/>
          <w:sz w:val="20"/>
          <w:szCs w:val="20"/>
        </w:rPr>
      </w:pPr>
    </w:p>
    <w:p w14:paraId="7E7D0498" w14:textId="77777777" w:rsidR="00E80CDE" w:rsidRPr="00F205FA" w:rsidRDefault="00E80CDE" w:rsidP="00F205FA">
      <w:pPr>
        <w:widowControl w:val="0"/>
        <w:autoSpaceDE w:val="0"/>
        <w:autoSpaceDN w:val="0"/>
        <w:adjustRightInd w:val="0"/>
        <w:jc w:val="both"/>
        <w:rPr>
          <w:rFonts w:ascii="Century Gothic" w:hAnsi="Century Gothic"/>
          <w:color w:val="0E568C"/>
          <w:sz w:val="20"/>
          <w:szCs w:val="20"/>
        </w:rPr>
      </w:pPr>
      <w:r w:rsidRPr="00F205FA">
        <w:rPr>
          <w:rFonts w:ascii="Century Gothic" w:hAnsi="Century Gothic"/>
          <w:color w:val="000000"/>
          <w:sz w:val="20"/>
          <w:szCs w:val="20"/>
        </w:rPr>
        <w:t> </w:t>
      </w:r>
    </w:p>
    <w:p w14:paraId="1D262A7D" w14:textId="77777777" w:rsidR="00E80CDE" w:rsidRPr="00F92EBA" w:rsidRDefault="00E80CDE" w:rsidP="00F205FA">
      <w:pPr>
        <w:widowControl w:val="0"/>
        <w:autoSpaceDE w:val="0"/>
        <w:autoSpaceDN w:val="0"/>
        <w:adjustRightInd w:val="0"/>
        <w:jc w:val="both"/>
        <w:rPr>
          <w:rFonts w:ascii="Century Gothic" w:hAnsi="Century Gothic"/>
          <w:b/>
          <w:bCs/>
        </w:rPr>
      </w:pPr>
      <w:r w:rsidRPr="00F92EBA">
        <w:rPr>
          <w:rFonts w:ascii="Century Gothic" w:hAnsi="Century Gothic"/>
          <w:b/>
          <w:bCs/>
        </w:rPr>
        <w:t>Outcome 3: Consumer understanding</w:t>
      </w:r>
    </w:p>
    <w:p w14:paraId="5C38CD35"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205FA">
        <w:rPr>
          <w:rFonts w:ascii="Century Gothic" w:hAnsi="Century Gothic"/>
          <w:sz w:val="20"/>
          <w:szCs w:val="20"/>
        </w:rPr>
        <w:t> </w:t>
      </w:r>
    </w:p>
    <w:p w14:paraId="0A255541"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 The questions in this section are based on information in Chapter 7 of the draft FCA non-Handbook guidance in Appendix 2 to </w:t>
      </w:r>
      <w:hyperlink r:id="rId12" w:history="1">
        <w:r w:rsidRPr="00F92EBA">
          <w:rPr>
            <w:rFonts w:ascii="Century Gothic" w:hAnsi="Century Gothic"/>
            <w:i/>
            <w:iCs/>
            <w:sz w:val="22"/>
            <w:szCs w:val="22"/>
          </w:rPr>
          <w:t>CP21/36</w:t>
        </w:r>
      </w:hyperlink>
      <w:r w:rsidRPr="00F92EBA">
        <w:rPr>
          <w:rFonts w:ascii="Century Gothic" w:hAnsi="Century Gothic"/>
          <w:sz w:val="22"/>
          <w:szCs w:val="22"/>
        </w:rPr>
        <w:t>.</w:t>
      </w:r>
    </w:p>
    <w:p w14:paraId="554460C6"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3B4174AE"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59260E80"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240735CB" w14:textId="77777777" w:rsidR="00E80CDE" w:rsidRPr="00F205FA" w:rsidRDefault="00E80CDE" w:rsidP="00F92EBA">
      <w:pPr>
        <w:widowControl w:val="0"/>
        <w:autoSpaceDE w:val="0"/>
        <w:autoSpaceDN w:val="0"/>
        <w:adjustRightInd w:val="0"/>
        <w:jc w:val="both"/>
        <w:rPr>
          <w:rFonts w:ascii="Century Gothic" w:hAnsi="Century Gothic"/>
          <w:color w:val="3D3D3D"/>
          <w:sz w:val="20"/>
          <w:szCs w:val="20"/>
        </w:rPr>
      </w:pPr>
    </w:p>
    <w:tbl>
      <w:tblPr>
        <w:tblStyle w:val="TableGrid"/>
        <w:tblW w:w="5000" w:type="pct"/>
        <w:tblLook w:val="04A0" w:firstRow="1" w:lastRow="0" w:firstColumn="1" w:lastColumn="0" w:noHBand="0" w:noVBand="1"/>
      </w:tblPr>
      <w:tblGrid>
        <w:gridCol w:w="422"/>
        <w:gridCol w:w="2969"/>
        <w:gridCol w:w="3551"/>
        <w:gridCol w:w="3685"/>
        <w:gridCol w:w="1558"/>
        <w:gridCol w:w="1485"/>
      </w:tblGrid>
      <w:tr w:rsidR="000E4CFA" w:rsidRPr="00F205FA" w14:paraId="2D64BD44" w14:textId="6D7AD02A" w:rsidTr="008071B5">
        <w:tc>
          <w:tcPr>
            <w:tcW w:w="154" w:type="pct"/>
            <w:shd w:val="clear" w:color="auto" w:fill="009193"/>
          </w:tcPr>
          <w:p w14:paraId="43A778CC"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0AD211F7"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3807DAC4"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20606739"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3A0A2EB" w14:textId="7554C16C"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1B90DD7C" w14:textId="4F8D3E80"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0E4CFA" w:rsidRPr="00F205FA" w14:paraId="07CB2485" w14:textId="1F8DAC33" w:rsidTr="00F54A90">
        <w:tc>
          <w:tcPr>
            <w:tcW w:w="154" w:type="pct"/>
          </w:tcPr>
          <w:p w14:paraId="0CBD9F17"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618CF079"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carried out (or is it intending to carry out) a gap analysis on </w:t>
            </w:r>
            <w:proofErr w:type="gramStart"/>
            <w:r w:rsidRPr="00F205FA">
              <w:rPr>
                <w:rFonts w:ascii="Century Gothic" w:hAnsi="Century Gothic"/>
                <w:color w:val="000000"/>
                <w:sz w:val="20"/>
                <w:szCs w:val="20"/>
              </w:rPr>
              <w:t>all of</w:t>
            </w:r>
            <w:proofErr w:type="gramEnd"/>
            <w:r w:rsidRPr="00F205FA">
              <w:rPr>
                <w:rFonts w:ascii="Century Gothic" w:hAnsi="Century Gothic"/>
                <w:color w:val="000000"/>
                <w:sz w:val="20"/>
                <w:szCs w:val="20"/>
              </w:rPr>
              <w:t xml:space="preserve"> its existing products/services (including closed products/services) comparing the current requirements to the proposed new requirements? </w:t>
            </w:r>
          </w:p>
        </w:tc>
        <w:tc>
          <w:tcPr>
            <w:tcW w:w="1299" w:type="pct"/>
          </w:tcPr>
          <w:p w14:paraId="76F237DB" w14:textId="56D4D1AE"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indicated above, it is standard practice for us to ensure all products our clients have, are considered within the framework of the plan. We therefore already do this</w:t>
            </w:r>
          </w:p>
        </w:tc>
        <w:tc>
          <w:tcPr>
            <w:tcW w:w="1348" w:type="pct"/>
            <w:shd w:val="clear" w:color="auto" w:fill="D883FF"/>
          </w:tcPr>
          <w:p w14:paraId="4555CDF6" w14:textId="49F117A4"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915B2F7"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913E550"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6693BCBD" w14:textId="2B50FE2A" w:rsidTr="00571652">
        <w:tc>
          <w:tcPr>
            <w:tcW w:w="154" w:type="pct"/>
          </w:tcPr>
          <w:p w14:paraId="1744C71A"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497008B"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In its communications and interactions with customers, has the firm presented information in an even-handed way that properly presents the benefits and the risks? For example, key terms should not be buried in documents the firm knows a customer is unlikely to read.</w:t>
            </w:r>
          </w:p>
        </w:tc>
        <w:tc>
          <w:tcPr>
            <w:tcW w:w="1299" w:type="pct"/>
          </w:tcPr>
          <w:p w14:paraId="6FFCB500" w14:textId="5C91D393"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are of the view that our client facing material and communications, while good, leaves something to be desired regarding clarity, value add and transparency</w:t>
            </w:r>
          </w:p>
        </w:tc>
        <w:tc>
          <w:tcPr>
            <w:tcW w:w="1348" w:type="pct"/>
            <w:shd w:val="clear" w:color="auto" w:fill="FF7E79"/>
          </w:tcPr>
          <w:p w14:paraId="4CB8BF67" w14:textId="62E232C0" w:rsidR="000E4CFA" w:rsidRPr="00F205FA" w:rsidRDefault="00571652" w:rsidP="00F205FA">
            <w:pPr>
              <w:widowControl w:val="0"/>
              <w:autoSpaceDE w:val="0"/>
              <w:autoSpaceDN w:val="0"/>
              <w:adjustRightInd w:val="0"/>
              <w:jc w:val="both"/>
              <w:rPr>
                <w:rFonts w:ascii="Century Gothic" w:hAnsi="Century Gothic"/>
                <w:color w:val="000000"/>
                <w:sz w:val="20"/>
                <w:szCs w:val="20"/>
              </w:rPr>
            </w:pPr>
            <w:r w:rsidRPr="00F54A90">
              <w:rPr>
                <w:rFonts w:ascii="Century Gothic" w:hAnsi="Century Gothic"/>
                <w:color w:val="000000" w:themeColor="text1"/>
                <w:sz w:val="20"/>
                <w:szCs w:val="20"/>
                <w:u w:val="single"/>
              </w:rPr>
              <w:t>Action:</w:t>
            </w:r>
            <w:r>
              <w:rPr>
                <w:rFonts w:ascii="Century Gothic" w:hAnsi="Century Gothic"/>
                <w:color w:val="000000" w:themeColor="text1"/>
                <w:sz w:val="20"/>
                <w:szCs w:val="20"/>
                <w:u w:val="single"/>
              </w:rPr>
              <w:t xml:space="preserve"> </w:t>
            </w:r>
            <w:r w:rsidR="000E4CFA">
              <w:rPr>
                <w:rFonts w:ascii="Century Gothic" w:hAnsi="Century Gothic"/>
                <w:color w:val="000000"/>
                <w:sz w:val="20"/>
                <w:szCs w:val="20"/>
              </w:rPr>
              <w:t xml:space="preserve">We will conduct a route and branch review of all </w:t>
            </w:r>
            <w:proofErr w:type="gramStart"/>
            <w:r w:rsidR="000E4CFA">
              <w:rPr>
                <w:rFonts w:ascii="Century Gothic" w:hAnsi="Century Gothic"/>
                <w:color w:val="000000"/>
                <w:sz w:val="20"/>
                <w:szCs w:val="20"/>
              </w:rPr>
              <w:t>client</w:t>
            </w:r>
            <w:proofErr w:type="gramEnd"/>
            <w:r w:rsidR="000E4CFA">
              <w:rPr>
                <w:rFonts w:ascii="Century Gothic" w:hAnsi="Century Gothic"/>
                <w:color w:val="000000"/>
                <w:sz w:val="20"/>
                <w:szCs w:val="20"/>
              </w:rPr>
              <w:t xml:space="preserve"> facing material under our control to ensure it does deliver on transparency and clarity</w:t>
            </w:r>
          </w:p>
        </w:tc>
        <w:tc>
          <w:tcPr>
            <w:tcW w:w="570" w:type="pct"/>
            <w:shd w:val="clear" w:color="auto" w:fill="auto"/>
            <w:vAlign w:val="center"/>
          </w:tcPr>
          <w:p w14:paraId="3A04A0BE" w14:textId="6431E7FF" w:rsidR="000E4CFA"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c>
          <w:tcPr>
            <w:tcW w:w="543" w:type="pct"/>
            <w:shd w:val="clear" w:color="auto" w:fill="auto"/>
            <w:vAlign w:val="center"/>
          </w:tcPr>
          <w:p w14:paraId="5D334B67" w14:textId="77777777" w:rsidR="000E4CFA" w:rsidRDefault="000E4CFA" w:rsidP="00571652">
            <w:pPr>
              <w:widowControl w:val="0"/>
              <w:autoSpaceDE w:val="0"/>
              <w:autoSpaceDN w:val="0"/>
              <w:adjustRightInd w:val="0"/>
              <w:jc w:val="center"/>
              <w:rPr>
                <w:rFonts w:ascii="Century Gothic" w:hAnsi="Century Gothic"/>
                <w:color w:val="000000"/>
                <w:sz w:val="20"/>
                <w:szCs w:val="20"/>
              </w:rPr>
            </w:pPr>
          </w:p>
        </w:tc>
      </w:tr>
      <w:tr w:rsidR="000E4CFA" w:rsidRPr="00F205FA" w14:paraId="55506586" w14:textId="13E08676" w:rsidTr="00571652">
        <w:tc>
          <w:tcPr>
            <w:tcW w:w="154" w:type="pct"/>
          </w:tcPr>
          <w:p w14:paraId="4CBC9532"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9B486A3"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adopted good practices that generally enhance the clarity of communications and, where possible, acted to </w:t>
            </w:r>
            <w:r w:rsidRPr="00F205FA">
              <w:rPr>
                <w:rFonts w:ascii="Century Gothic" w:hAnsi="Century Gothic"/>
                <w:color w:val="000000"/>
                <w:sz w:val="20"/>
                <w:szCs w:val="20"/>
              </w:rPr>
              <w:lastRenderedPageBreak/>
              <w:t>make communications more effective? For example, by:</w:t>
            </w:r>
          </w:p>
        </w:tc>
        <w:tc>
          <w:tcPr>
            <w:tcW w:w="1299" w:type="pct"/>
            <w:shd w:val="clear" w:color="auto" w:fill="BFBFBF" w:themeFill="background1" w:themeFillShade="BF"/>
          </w:tcPr>
          <w:p w14:paraId="1D9E1580"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1348" w:type="pct"/>
            <w:shd w:val="clear" w:color="auto" w:fill="BFBFBF" w:themeFill="background1" w:themeFillShade="BF"/>
          </w:tcPr>
          <w:p w14:paraId="54AB93C2"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2B12A55"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279320C1"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r>
      <w:tr w:rsidR="00571652" w:rsidRPr="00F205FA" w14:paraId="41081542" w14:textId="525C5551" w:rsidTr="00571652">
        <w:tc>
          <w:tcPr>
            <w:tcW w:w="154" w:type="pct"/>
          </w:tcPr>
          <w:p w14:paraId="08539CAD"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0AAE47E8"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layering information. Is key information provided upfront with cross-references or links to further detail? This can be particularly effective online;</w:t>
            </w:r>
          </w:p>
        </w:tc>
        <w:tc>
          <w:tcPr>
            <w:tcW w:w="1299" w:type="pct"/>
          </w:tcPr>
          <w:p w14:paraId="5B094574" w14:textId="5A19F491"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56AD9F8D" w14:textId="77777777" w:rsidR="00571652"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p w14:paraId="78DFE1CC" w14:textId="77777777" w:rsidR="00A71C53" w:rsidRDefault="00A71C53" w:rsidP="00571652">
            <w:pPr>
              <w:widowControl w:val="0"/>
              <w:autoSpaceDE w:val="0"/>
              <w:autoSpaceDN w:val="0"/>
              <w:adjustRightInd w:val="0"/>
              <w:jc w:val="both"/>
              <w:rPr>
                <w:rFonts w:ascii="Century Gothic" w:hAnsi="Century Gothic"/>
                <w:color w:val="000000"/>
                <w:sz w:val="20"/>
                <w:szCs w:val="20"/>
              </w:rPr>
            </w:pPr>
          </w:p>
          <w:p w14:paraId="323FEBD2" w14:textId="77777777" w:rsidR="00A71C53" w:rsidRDefault="00A71C53" w:rsidP="00571652">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Outcomes</w:t>
            </w:r>
            <w:r>
              <w:rPr>
                <w:rFonts w:ascii="Century Gothic" w:hAnsi="Century Gothic"/>
                <w:color w:val="000000"/>
                <w:sz w:val="20"/>
                <w:szCs w:val="20"/>
              </w:rPr>
              <w:t>:</w:t>
            </w:r>
          </w:p>
          <w:p w14:paraId="0DBA597F" w14:textId="5CD88F83" w:rsidR="00A71C53" w:rsidRPr="00A71C53" w:rsidRDefault="00A71C53" w:rsidP="00A71C53">
            <w:pPr>
              <w:pStyle w:val="ListParagraph"/>
              <w:widowControl w:val="0"/>
              <w:numPr>
                <w:ilvl w:val="0"/>
                <w:numId w:val="16"/>
              </w:numPr>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rPr>
              <w:t>TOB enhanced with more layering</w:t>
            </w:r>
          </w:p>
        </w:tc>
        <w:tc>
          <w:tcPr>
            <w:tcW w:w="570" w:type="pct"/>
            <w:shd w:val="clear" w:color="auto" w:fill="auto"/>
            <w:vAlign w:val="center"/>
          </w:tcPr>
          <w:p w14:paraId="73C7837B" w14:textId="1B1745A0" w:rsidR="00571652" w:rsidRDefault="00571652" w:rsidP="00571652">
            <w:pPr>
              <w:widowControl w:val="0"/>
              <w:autoSpaceDE w:val="0"/>
              <w:autoSpaceDN w:val="0"/>
              <w:adjustRightInd w:val="0"/>
              <w:jc w:val="center"/>
              <w:rPr>
                <w:rFonts w:ascii="Century Gothic" w:hAnsi="Century Gothic"/>
                <w:color w:val="000000"/>
                <w:sz w:val="20"/>
                <w:szCs w:val="20"/>
              </w:rPr>
            </w:pPr>
            <w:r w:rsidRPr="006D75A9">
              <w:rPr>
                <w:rFonts w:ascii="Century Gothic" w:hAnsi="Century Gothic"/>
                <w:color w:val="000000"/>
                <w:sz w:val="20"/>
                <w:szCs w:val="20"/>
              </w:rPr>
              <w:t>31/7/23</w:t>
            </w:r>
          </w:p>
        </w:tc>
        <w:tc>
          <w:tcPr>
            <w:tcW w:w="543" w:type="pct"/>
            <w:shd w:val="clear" w:color="auto" w:fill="auto"/>
          </w:tcPr>
          <w:p w14:paraId="3B41F006"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571652" w:rsidRPr="00F205FA" w14:paraId="1CC74072" w14:textId="6BA1E9B9" w:rsidTr="00571652">
        <w:tc>
          <w:tcPr>
            <w:tcW w:w="154" w:type="pct"/>
          </w:tcPr>
          <w:p w14:paraId="6E2460B0"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049E265E"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engaging. Is the key information easy to identify? For example, by means of headings and layout, bullet points, </w:t>
            </w:r>
            <w:proofErr w:type="gramStart"/>
            <w:r w:rsidRPr="00F205FA">
              <w:rPr>
                <w:rFonts w:ascii="Century Gothic" w:hAnsi="Century Gothic"/>
                <w:color w:val="000000"/>
                <w:sz w:val="20"/>
                <w:szCs w:val="20"/>
              </w:rPr>
              <w:t>display</w:t>
            </w:r>
            <w:proofErr w:type="gramEnd"/>
            <w:r w:rsidRPr="00F205FA">
              <w:rPr>
                <w:rFonts w:ascii="Century Gothic" w:hAnsi="Century Gothic"/>
                <w:color w:val="000000"/>
                <w:sz w:val="20"/>
                <w:szCs w:val="20"/>
              </w:rPr>
              <w:t xml:space="preserve"> and font attributes of text. Design devices such as tables, graphs, diagrams, graphics, </w:t>
            </w:r>
            <w:proofErr w:type="gramStart"/>
            <w:r w:rsidRPr="00F205FA">
              <w:rPr>
                <w:rFonts w:ascii="Century Gothic" w:hAnsi="Century Gothic"/>
                <w:color w:val="000000"/>
                <w:sz w:val="20"/>
                <w:szCs w:val="20"/>
              </w:rPr>
              <w:t>audio-visuals</w:t>
            </w:r>
            <w:proofErr w:type="gramEnd"/>
            <w:r w:rsidRPr="00F205FA">
              <w:rPr>
                <w:rFonts w:ascii="Century Gothic" w:hAnsi="Century Gothic"/>
                <w:color w:val="000000"/>
                <w:sz w:val="20"/>
                <w:szCs w:val="20"/>
              </w:rPr>
              <w:t xml:space="preserve"> and interactive media can also improve the effectiveness of communications by making them more engaging;</w:t>
            </w:r>
          </w:p>
        </w:tc>
        <w:tc>
          <w:tcPr>
            <w:tcW w:w="1299" w:type="pct"/>
          </w:tcPr>
          <w:p w14:paraId="4232A350" w14:textId="5945B632"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0BD5CDBA" w14:textId="77777777" w:rsidR="00571652"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p w14:paraId="13FE4CC9" w14:textId="77777777" w:rsidR="00A71C53" w:rsidRDefault="00A71C53" w:rsidP="00571652">
            <w:pPr>
              <w:widowControl w:val="0"/>
              <w:autoSpaceDE w:val="0"/>
              <w:autoSpaceDN w:val="0"/>
              <w:adjustRightInd w:val="0"/>
              <w:jc w:val="both"/>
              <w:rPr>
                <w:rFonts w:ascii="Century Gothic" w:hAnsi="Century Gothic"/>
                <w:color w:val="000000"/>
                <w:sz w:val="20"/>
                <w:szCs w:val="20"/>
              </w:rPr>
            </w:pPr>
          </w:p>
          <w:p w14:paraId="38E21F97" w14:textId="77777777" w:rsidR="00A71C53" w:rsidRDefault="00A71C53" w:rsidP="00A71C53">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Outcomes</w:t>
            </w:r>
            <w:r>
              <w:rPr>
                <w:rFonts w:ascii="Century Gothic" w:hAnsi="Century Gothic"/>
                <w:color w:val="000000"/>
                <w:sz w:val="20"/>
                <w:szCs w:val="20"/>
              </w:rPr>
              <w:t>:</w:t>
            </w:r>
          </w:p>
          <w:p w14:paraId="2BB012A0" w14:textId="69B17665" w:rsidR="00A71C53" w:rsidRPr="00A71C53" w:rsidRDefault="00A71C53" w:rsidP="00A71C53">
            <w:pPr>
              <w:pStyle w:val="ListParagraph"/>
              <w:widowControl w:val="0"/>
              <w:numPr>
                <w:ilvl w:val="0"/>
                <w:numId w:val="16"/>
              </w:numPr>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rPr>
              <w:t>TOB reviewed and found to be clear transparent. Some words changed to make even more so.</w:t>
            </w:r>
          </w:p>
        </w:tc>
        <w:tc>
          <w:tcPr>
            <w:tcW w:w="570" w:type="pct"/>
            <w:shd w:val="clear" w:color="auto" w:fill="auto"/>
            <w:vAlign w:val="center"/>
          </w:tcPr>
          <w:p w14:paraId="0E1460C4" w14:textId="66D6C74A" w:rsidR="00571652" w:rsidRDefault="00571652" w:rsidP="00571652">
            <w:pPr>
              <w:widowControl w:val="0"/>
              <w:autoSpaceDE w:val="0"/>
              <w:autoSpaceDN w:val="0"/>
              <w:adjustRightInd w:val="0"/>
              <w:jc w:val="center"/>
              <w:rPr>
                <w:rFonts w:ascii="Century Gothic" w:hAnsi="Century Gothic"/>
                <w:color w:val="000000"/>
                <w:sz w:val="20"/>
                <w:szCs w:val="20"/>
              </w:rPr>
            </w:pPr>
            <w:r w:rsidRPr="006D75A9">
              <w:rPr>
                <w:rFonts w:ascii="Century Gothic" w:hAnsi="Century Gothic"/>
                <w:color w:val="000000"/>
                <w:sz w:val="20"/>
                <w:szCs w:val="20"/>
              </w:rPr>
              <w:t>31/7/23</w:t>
            </w:r>
          </w:p>
        </w:tc>
        <w:tc>
          <w:tcPr>
            <w:tcW w:w="543" w:type="pct"/>
            <w:shd w:val="clear" w:color="auto" w:fill="auto"/>
          </w:tcPr>
          <w:p w14:paraId="3D904C5A"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571652" w:rsidRPr="00F205FA" w14:paraId="126E5D8A" w14:textId="63CDF322" w:rsidTr="00571652">
        <w:tc>
          <w:tcPr>
            <w:tcW w:w="154" w:type="pct"/>
          </w:tcPr>
          <w:p w14:paraId="2300115C"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54A6B5E3"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relevant. Has the firm included the appropriate level of detail for each communication and avoided unnecessary </w:t>
            </w:r>
            <w:proofErr w:type="gramStart"/>
            <w:r w:rsidRPr="00F205FA">
              <w:rPr>
                <w:rFonts w:ascii="Century Gothic" w:hAnsi="Century Gothic"/>
                <w:color w:val="000000"/>
                <w:sz w:val="20"/>
                <w:szCs w:val="20"/>
              </w:rPr>
              <w:t>disclaimers?;</w:t>
            </w:r>
            <w:proofErr w:type="gramEnd"/>
          </w:p>
        </w:tc>
        <w:tc>
          <w:tcPr>
            <w:tcW w:w="1299" w:type="pct"/>
          </w:tcPr>
          <w:p w14:paraId="1A9C9989" w14:textId="7BC0C92F"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04BAEEF8" w14:textId="4D833D93"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570" w:type="pct"/>
            <w:shd w:val="clear" w:color="auto" w:fill="auto"/>
            <w:vAlign w:val="center"/>
          </w:tcPr>
          <w:p w14:paraId="73EECCDE" w14:textId="32757DBA" w:rsidR="00571652"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6EF54267"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571652" w:rsidRPr="00F205FA" w14:paraId="6F3B4DB9" w14:textId="52016E91" w:rsidTr="00571652">
        <w:tc>
          <w:tcPr>
            <w:tcW w:w="154" w:type="pct"/>
          </w:tcPr>
          <w:p w14:paraId="2F072883"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40A9F7F7"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simple. Does the communication avoid using jargon or technical terms where possible? Where unavoidable, firms should explain the meaning of key terms in plain and intelligible language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likely to understand; and</w:t>
            </w:r>
          </w:p>
        </w:tc>
        <w:tc>
          <w:tcPr>
            <w:tcW w:w="1299" w:type="pct"/>
          </w:tcPr>
          <w:p w14:paraId="539A986B" w14:textId="2E83C062"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6CD62AF8" w14:textId="67F51891"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570" w:type="pct"/>
            <w:shd w:val="clear" w:color="auto" w:fill="auto"/>
            <w:vAlign w:val="center"/>
          </w:tcPr>
          <w:p w14:paraId="5EAA4E53" w14:textId="60650CFA" w:rsidR="00571652"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1BFB81FA"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0E4CFA" w:rsidRPr="00F205FA" w14:paraId="09818D30" w14:textId="1AB60A5F" w:rsidTr="00571652">
        <w:tc>
          <w:tcPr>
            <w:tcW w:w="154" w:type="pct"/>
          </w:tcPr>
          <w:p w14:paraId="5121A61F" w14:textId="77777777" w:rsidR="000E4CFA" w:rsidRPr="0003511D" w:rsidRDefault="000E4CFA" w:rsidP="0003511D">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12EECD1B" w14:textId="77777777" w:rsidR="000E4CFA" w:rsidRPr="00F205FA" w:rsidRDefault="000E4CFA"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timely. Has the firm communicated with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a timely manner and at appropriate touch points throughout the product lifecycle, giving </w:t>
            </w:r>
            <w:r w:rsidRPr="00F205FA">
              <w:rPr>
                <w:rFonts w:ascii="Century Gothic" w:hAnsi="Century Gothic"/>
                <w:color w:val="000000"/>
                <w:sz w:val="20"/>
                <w:szCs w:val="20"/>
              </w:rPr>
              <w:lastRenderedPageBreak/>
              <w:t>them an appropriate opportunity to take in the information and, where relevant, assess their options?</w:t>
            </w:r>
          </w:p>
        </w:tc>
        <w:tc>
          <w:tcPr>
            <w:tcW w:w="1299" w:type="pct"/>
          </w:tcPr>
          <w:p w14:paraId="6E3F301D" w14:textId="08E12E60"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w:t>
            </w:r>
          </w:p>
        </w:tc>
        <w:tc>
          <w:tcPr>
            <w:tcW w:w="1348" w:type="pct"/>
            <w:shd w:val="clear" w:color="auto" w:fill="D883FF"/>
          </w:tcPr>
          <w:p w14:paraId="0925C84B" w14:textId="5F73CE47"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857247B"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4B89AFA"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0FB7F4B0" w14:textId="491E5910" w:rsidTr="00571652">
        <w:tc>
          <w:tcPr>
            <w:tcW w:w="154" w:type="pct"/>
          </w:tcPr>
          <w:p w14:paraId="4A1216CB"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30157F7"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adopted an effective approach to the testing of communications, which provides assurance that significant communications can be understood by the target recipients? For example, are communications adapted, where appropriate, with the aim of improving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understanding to support good outcomes?</w:t>
            </w:r>
          </w:p>
        </w:tc>
        <w:tc>
          <w:tcPr>
            <w:tcW w:w="1299" w:type="pct"/>
          </w:tcPr>
          <w:p w14:paraId="55987FFD" w14:textId="203D18D7"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and this doesn’t apply to us. This is a manufacturer thing</w:t>
            </w:r>
          </w:p>
        </w:tc>
        <w:tc>
          <w:tcPr>
            <w:tcW w:w="1348" w:type="pct"/>
            <w:shd w:val="clear" w:color="auto" w:fill="D883FF"/>
          </w:tcPr>
          <w:p w14:paraId="5672DDE8" w14:textId="42DEE049"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E126E74"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C4B9866"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1EB9DEA5" w14:textId="6B2255DF" w:rsidTr="00571652">
        <w:tc>
          <w:tcPr>
            <w:tcW w:w="154" w:type="pct"/>
          </w:tcPr>
          <w:p w14:paraId="1F32AA87"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5C4C56C"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draft, and regularly review, its contract terms to ensure compliance with the transparency requirements of the </w:t>
            </w:r>
            <w:hyperlink r:id="rId13" w:history="1">
              <w:r w:rsidRPr="00F205FA">
                <w:rPr>
                  <w:rFonts w:ascii="Century Gothic" w:hAnsi="Century Gothic"/>
                  <w:i/>
                  <w:iCs/>
                  <w:color w:val="0E568C"/>
                  <w:sz w:val="20"/>
                  <w:szCs w:val="20"/>
                </w:rPr>
                <w:t>CRA</w:t>
              </w:r>
            </w:hyperlink>
            <w:r w:rsidRPr="00F205FA">
              <w:rPr>
                <w:rFonts w:ascii="Century Gothic" w:hAnsi="Century Gothic"/>
                <w:color w:val="000000"/>
                <w:sz w:val="20"/>
                <w:szCs w:val="20"/>
              </w:rPr>
              <w:t>?</w:t>
            </w:r>
          </w:p>
        </w:tc>
        <w:tc>
          <w:tcPr>
            <w:tcW w:w="1299" w:type="pct"/>
          </w:tcPr>
          <w:p w14:paraId="18D6ABE9" w14:textId="420ED0A5"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w:t>
            </w:r>
          </w:p>
        </w:tc>
        <w:tc>
          <w:tcPr>
            <w:tcW w:w="1348" w:type="pct"/>
            <w:shd w:val="clear" w:color="auto" w:fill="FFC000"/>
          </w:tcPr>
          <w:p w14:paraId="7E8DBDDE" w14:textId="09A881CC" w:rsidR="000E4CFA"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0E4CFA">
              <w:rPr>
                <w:rFonts w:ascii="Century Gothic" w:hAnsi="Century Gothic"/>
                <w:color w:val="000000"/>
                <w:sz w:val="20"/>
                <w:szCs w:val="20"/>
              </w:rPr>
              <w:t>We will do this</w:t>
            </w:r>
            <w:r>
              <w:rPr>
                <w:rFonts w:ascii="Century Gothic" w:hAnsi="Century Gothic"/>
                <w:color w:val="000000"/>
                <w:sz w:val="20"/>
                <w:szCs w:val="20"/>
              </w:rPr>
              <w:t xml:space="preserve"> (see item 11 above too)</w:t>
            </w:r>
          </w:p>
        </w:tc>
        <w:tc>
          <w:tcPr>
            <w:tcW w:w="570" w:type="pct"/>
            <w:shd w:val="clear" w:color="auto" w:fill="auto"/>
            <w:vAlign w:val="center"/>
          </w:tcPr>
          <w:p w14:paraId="6F0534AB" w14:textId="5F0B77E5" w:rsidR="000E4CFA"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1F453D88"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bl>
    <w:p w14:paraId="5B9F101E" w14:textId="222F1856" w:rsidR="00E80CDE" w:rsidRDefault="00E80CDE" w:rsidP="00F92EB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3C54EA6" w14:textId="77777777" w:rsidR="00F92EBA" w:rsidRPr="00F205FA" w:rsidRDefault="00F92EBA" w:rsidP="00F92EBA">
      <w:pPr>
        <w:widowControl w:val="0"/>
        <w:autoSpaceDE w:val="0"/>
        <w:autoSpaceDN w:val="0"/>
        <w:adjustRightInd w:val="0"/>
        <w:jc w:val="both"/>
        <w:rPr>
          <w:rFonts w:ascii="Century Gothic" w:hAnsi="Century Gothic"/>
          <w:color w:val="0E568C"/>
          <w:sz w:val="20"/>
          <w:szCs w:val="20"/>
        </w:rPr>
      </w:pPr>
    </w:p>
    <w:p w14:paraId="003A473D"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Avoiding foreseeable harm</w:t>
      </w:r>
    </w:p>
    <w:p w14:paraId="56CB97B2"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21"/>
        <w:gridCol w:w="3117"/>
        <w:gridCol w:w="3404"/>
        <w:gridCol w:w="3685"/>
        <w:gridCol w:w="1558"/>
        <w:gridCol w:w="1485"/>
      </w:tblGrid>
      <w:tr w:rsidR="00B9721F" w:rsidRPr="00F92EBA" w14:paraId="600AF850" w14:textId="6E98C9B7" w:rsidTr="00B9721F">
        <w:tc>
          <w:tcPr>
            <w:tcW w:w="154" w:type="pct"/>
            <w:shd w:val="clear" w:color="auto" w:fill="009193"/>
          </w:tcPr>
          <w:p w14:paraId="5B876BC5"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p>
        </w:tc>
        <w:tc>
          <w:tcPr>
            <w:tcW w:w="1140" w:type="pct"/>
            <w:shd w:val="clear" w:color="auto" w:fill="009193"/>
          </w:tcPr>
          <w:p w14:paraId="753E4033"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45" w:type="pct"/>
            <w:shd w:val="clear" w:color="auto" w:fill="009193"/>
          </w:tcPr>
          <w:p w14:paraId="7031EA59"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45F8420E"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A0C4245" w14:textId="7A23C0CF"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67F6C5C" w14:textId="48A8CC98"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B9721F" w:rsidRPr="00F205FA" w14:paraId="00451233" w14:textId="116D016E" w:rsidTr="00571652">
        <w:tc>
          <w:tcPr>
            <w:tcW w:w="154" w:type="pct"/>
          </w:tcPr>
          <w:p w14:paraId="1FE4FE1D"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2EF56B57"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communicate product/service terms clearly and highlight key risks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For example, by prominently disclosing and </w:t>
            </w:r>
            <w:r w:rsidRPr="00F205FA">
              <w:rPr>
                <w:rFonts w:ascii="Century Gothic" w:hAnsi="Century Gothic"/>
                <w:color w:val="000000"/>
                <w:sz w:val="20"/>
                <w:szCs w:val="20"/>
              </w:rPr>
              <w:lastRenderedPageBreak/>
              <w:t>adequately explaining significant risks.</w:t>
            </w:r>
          </w:p>
        </w:tc>
        <w:tc>
          <w:tcPr>
            <w:tcW w:w="1245" w:type="pct"/>
          </w:tcPr>
          <w:p w14:paraId="1823A30D" w14:textId="512E9776"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w:t>
            </w:r>
          </w:p>
        </w:tc>
        <w:tc>
          <w:tcPr>
            <w:tcW w:w="1348" w:type="pct"/>
            <w:shd w:val="clear" w:color="auto" w:fill="FFC000"/>
          </w:tcPr>
          <w:p w14:paraId="2A32F746" w14:textId="70343ADE"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B9721F">
              <w:rPr>
                <w:rFonts w:ascii="Century Gothic" w:hAnsi="Century Gothic"/>
                <w:color w:val="000000"/>
                <w:sz w:val="20"/>
                <w:szCs w:val="20"/>
              </w:rPr>
              <w:t>We will however review this and re-train relevant staff if necessary.</w:t>
            </w:r>
          </w:p>
        </w:tc>
        <w:tc>
          <w:tcPr>
            <w:tcW w:w="570" w:type="pct"/>
            <w:shd w:val="clear" w:color="auto" w:fill="auto"/>
            <w:vAlign w:val="center"/>
          </w:tcPr>
          <w:p w14:paraId="0B7E9ADD" w14:textId="3098F067" w:rsidR="00B9721F"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1DDCA41E"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307B2FC" w14:textId="3490CD7E" w:rsidTr="00571652">
        <w:tc>
          <w:tcPr>
            <w:tcW w:w="154" w:type="pct"/>
          </w:tcPr>
          <w:p w14:paraId="74D7D2DD"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16C16C2A"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“put itself in its customers’ shoes” and considered whether its communications equip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with the right information, at the right time, to assess products and services and make effective decisions? </w:t>
            </w:r>
            <w:proofErr w:type="gramStart"/>
            <w:r w:rsidRPr="00F205FA">
              <w:rPr>
                <w:rFonts w:ascii="Century Gothic" w:hAnsi="Century Gothic"/>
                <w:color w:val="000000"/>
                <w:sz w:val="20"/>
                <w:szCs w:val="20"/>
              </w:rPr>
              <w:t>In particular, has</w:t>
            </w:r>
            <w:proofErr w:type="gramEnd"/>
            <w:r w:rsidRPr="00F205FA">
              <w:rPr>
                <w:rFonts w:ascii="Century Gothic" w:hAnsi="Century Gothic"/>
                <w:color w:val="000000"/>
                <w:sz w:val="20"/>
                <w:szCs w:val="20"/>
              </w:rPr>
              <w:t xml:space="preserve"> the firm considered its vulnerable customers when drafting communications?</w:t>
            </w:r>
          </w:p>
        </w:tc>
        <w:tc>
          <w:tcPr>
            <w:tcW w:w="1245" w:type="pct"/>
          </w:tcPr>
          <w:p w14:paraId="155F3D22" w14:textId="68E79EEE"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w:t>
            </w:r>
          </w:p>
        </w:tc>
        <w:tc>
          <w:tcPr>
            <w:tcW w:w="1348" w:type="pct"/>
            <w:shd w:val="clear" w:color="auto" w:fill="FFC000"/>
          </w:tcPr>
          <w:p w14:paraId="01B90BD6" w14:textId="3B4CE0B0"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B9721F">
              <w:rPr>
                <w:rFonts w:ascii="Century Gothic" w:hAnsi="Century Gothic"/>
                <w:color w:val="000000"/>
                <w:sz w:val="20"/>
                <w:szCs w:val="20"/>
              </w:rPr>
              <w:t>We will do this</w:t>
            </w:r>
          </w:p>
        </w:tc>
        <w:tc>
          <w:tcPr>
            <w:tcW w:w="570" w:type="pct"/>
            <w:shd w:val="clear" w:color="auto" w:fill="auto"/>
            <w:vAlign w:val="center"/>
          </w:tcPr>
          <w:p w14:paraId="2E4AF64A" w14:textId="49F124A9" w:rsidR="00B9721F"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32283643"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4E59CE9E" w14:textId="4BB679DD" w:rsidTr="00571652">
        <w:tc>
          <w:tcPr>
            <w:tcW w:w="154" w:type="pct"/>
          </w:tcPr>
          <w:p w14:paraId="496A47C3"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0D4FE8FF"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considered </w:t>
            </w:r>
            <w:r w:rsidRPr="00F205FA">
              <w:rPr>
                <w:rFonts w:ascii="Century Gothic" w:hAnsi="Century Gothic"/>
                <w:color w:val="252525"/>
                <w:sz w:val="20"/>
                <w:szCs w:val="20"/>
              </w:rPr>
              <w:t>consumers</w:t>
            </w:r>
            <w:r w:rsidRPr="00F205FA">
              <w:rPr>
                <w:rFonts w:ascii="Century Gothic" w:hAnsi="Century Gothic"/>
                <w:color w:val="000000"/>
                <w:sz w:val="20"/>
                <w:szCs w:val="20"/>
              </w:rPr>
              <w:t>’ information needs after the initial point of sale and throughout the lifecycle of the product?</w:t>
            </w:r>
          </w:p>
        </w:tc>
        <w:tc>
          <w:tcPr>
            <w:tcW w:w="1245" w:type="pct"/>
          </w:tcPr>
          <w:p w14:paraId="4DAA3A5B" w14:textId="661FFE03"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r w:rsidR="00571652">
              <w:rPr>
                <w:rFonts w:ascii="Century Gothic" w:hAnsi="Century Gothic"/>
                <w:color w:val="000000"/>
                <w:sz w:val="20"/>
                <w:szCs w:val="20"/>
              </w:rPr>
              <w:t xml:space="preserve">. </w:t>
            </w:r>
            <w:r w:rsidR="001023C6">
              <w:rPr>
                <w:rFonts w:ascii="Century Gothic" w:hAnsi="Century Gothic"/>
                <w:color w:val="000000"/>
                <w:sz w:val="20"/>
                <w:szCs w:val="20"/>
              </w:rPr>
              <w:t>As</w:t>
            </w:r>
            <w:r w:rsidR="00571652">
              <w:rPr>
                <w:rFonts w:ascii="Century Gothic" w:hAnsi="Century Gothic"/>
                <w:color w:val="000000"/>
                <w:sz w:val="20"/>
                <w:szCs w:val="20"/>
              </w:rPr>
              <w:t xml:space="preserve"> well as our standard clients, we are already focussing on vulnerable clients and their needs and have separate policies and procedures for them</w:t>
            </w:r>
          </w:p>
        </w:tc>
        <w:tc>
          <w:tcPr>
            <w:tcW w:w="1348" w:type="pct"/>
            <w:shd w:val="clear" w:color="auto" w:fill="D883FF"/>
          </w:tcPr>
          <w:p w14:paraId="168D85FC" w14:textId="2490E46A"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3A3D5917"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26DDEB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2998A54" w14:textId="3C06CF21" w:rsidTr="00571652">
        <w:tc>
          <w:tcPr>
            <w:tcW w:w="154" w:type="pct"/>
          </w:tcPr>
          <w:p w14:paraId="66585478"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65AD6DF6"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How does the firm ensure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get the necessary calls to action to avoid something that would negatively impact them?</w:t>
            </w:r>
          </w:p>
        </w:tc>
        <w:tc>
          <w:tcPr>
            <w:tcW w:w="1245" w:type="pct"/>
          </w:tcPr>
          <w:p w14:paraId="4960658F" w14:textId="3DA95E4C"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Through various communication channels including the website and emails</w:t>
            </w:r>
          </w:p>
        </w:tc>
        <w:tc>
          <w:tcPr>
            <w:tcW w:w="1348" w:type="pct"/>
            <w:shd w:val="clear" w:color="auto" w:fill="D883FF"/>
          </w:tcPr>
          <w:p w14:paraId="12250E12" w14:textId="006160BF"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8EF684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C44EFF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F8A9FD7" w14:textId="2BB7B64C" w:rsidTr="00571652">
        <w:tc>
          <w:tcPr>
            <w:tcW w:w="154" w:type="pct"/>
          </w:tcPr>
          <w:p w14:paraId="475C7E6C"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426AE122"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Is the firm collecting and making use of relevant MI to monitor the impact of communications and identify areas that warrant further investigation? For example, communication response rates, take-up rates of products where communications prompt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to switch or take them out, or complaints </w:t>
            </w:r>
            <w:r w:rsidRPr="00F205FA">
              <w:rPr>
                <w:rFonts w:ascii="Century Gothic" w:hAnsi="Century Gothic"/>
                <w:color w:val="000000"/>
                <w:sz w:val="20"/>
                <w:szCs w:val="20"/>
              </w:rPr>
              <w:lastRenderedPageBreak/>
              <w:t>information.</w:t>
            </w:r>
          </w:p>
        </w:tc>
        <w:tc>
          <w:tcPr>
            <w:tcW w:w="1245" w:type="pct"/>
          </w:tcPr>
          <w:p w14:paraId="194B9E69" w14:textId="42079A89"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Yes. Our </w:t>
            </w:r>
            <w:proofErr w:type="gramStart"/>
            <w:r>
              <w:rPr>
                <w:rFonts w:ascii="Century Gothic" w:hAnsi="Century Gothic"/>
                <w:color w:val="000000"/>
                <w:sz w:val="20"/>
                <w:szCs w:val="20"/>
              </w:rPr>
              <w:t>main focus</w:t>
            </w:r>
            <w:proofErr w:type="gramEnd"/>
            <w:r>
              <w:rPr>
                <w:rFonts w:ascii="Century Gothic" w:hAnsi="Century Gothic"/>
                <w:color w:val="000000"/>
                <w:sz w:val="20"/>
                <w:szCs w:val="20"/>
              </w:rPr>
              <w:t xml:space="preserve"> in this regard is rebalancing / fund switching and the need for clients to instruct us, in order for us to implement</w:t>
            </w:r>
          </w:p>
        </w:tc>
        <w:tc>
          <w:tcPr>
            <w:tcW w:w="1348" w:type="pct"/>
            <w:shd w:val="clear" w:color="auto" w:fill="D883FF"/>
          </w:tcPr>
          <w:p w14:paraId="0508D972" w14:textId="125E6132"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CBCE4C5"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1D93EFA"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bl>
    <w:p w14:paraId="4422C223" w14:textId="40FF6E7A" w:rsidR="00E80CDE" w:rsidRDefault="00E80CDE" w:rsidP="00F92EBA">
      <w:pPr>
        <w:widowControl w:val="0"/>
        <w:autoSpaceDE w:val="0"/>
        <w:autoSpaceDN w:val="0"/>
        <w:adjustRightInd w:val="0"/>
        <w:jc w:val="both"/>
        <w:rPr>
          <w:rFonts w:ascii="Century Gothic" w:hAnsi="Century Gothic"/>
          <w:sz w:val="20"/>
          <w:szCs w:val="20"/>
        </w:rPr>
      </w:pPr>
    </w:p>
    <w:p w14:paraId="2123B8BE" w14:textId="30A310BE" w:rsidR="00BA08E1" w:rsidRDefault="00BA08E1" w:rsidP="00F92EBA">
      <w:pPr>
        <w:widowControl w:val="0"/>
        <w:autoSpaceDE w:val="0"/>
        <w:autoSpaceDN w:val="0"/>
        <w:adjustRightInd w:val="0"/>
        <w:jc w:val="both"/>
        <w:rPr>
          <w:rFonts w:ascii="Century Gothic" w:hAnsi="Century Gothic"/>
          <w:sz w:val="22"/>
          <w:szCs w:val="22"/>
        </w:rPr>
      </w:pPr>
    </w:p>
    <w:p w14:paraId="7AC60ABB" w14:textId="77777777" w:rsidR="00BA08E1" w:rsidRPr="00F92EBA" w:rsidRDefault="00BA08E1" w:rsidP="00F92EBA">
      <w:pPr>
        <w:widowControl w:val="0"/>
        <w:autoSpaceDE w:val="0"/>
        <w:autoSpaceDN w:val="0"/>
        <w:adjustRightInd w:val="0"/>
        <w:jc w:val="both"/>
        <w:rPr>
          <w:rFonts w:ascii="Century Gothic" w:hAnsi="Century Gothic"/>
          <w:sz w:val="22"/>
          <w:szCs w:val="22"/>
        </w:rPr>
      </w:pPr>
    </w:p>
    <w:p w14:paraId="6CA0189C"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Enabling and supporting retail customers to pursue their financial </w:t>
      </w:r>
      <w:proofErr w:type="gramStart"/>
      <w:r w:rsidRPr="00F92EBA">
        <w:rPr>
          <w:rFonts w:ascii="Century Gothic" w:hAnsi="Century Gothic"/>
          <w:sz w:val="22"/>
          <w:szCs w:val="22"/>
        </w:rPr>
        <w:t>objectives</w:t>
      </w:r>
      <w:proofErr w:type="gramEnd"/>
    </w:p>
    <w:p w14:paraId="54DD03AB"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22"/>
        <w:gridCol w:w="2928"/>
        <w:gridCol w:w="3592"/>
        <w:gridCol w:w="3685"/>
        <w:gridCol w:w="1558"/>
        <w:gridCol w:w="1485"/>
      </w:tblGrid>
      <w:tr w:rsidR="00B9721F" w:rsidRPr="00F92EBA" w14:paraId="0B8485DC" w14:textId="4711041B" w:rsidTr="00B9721F">
        <w:tc>
          <w:tcPr>
            <w:tcW w:w="154" w:type="pct"/>
            <w:shd w:val="clear" w:color="auto" w:fill="009193"/>
          </w:tcPr>
          <w:p w14:paraId="3DE29FA6"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3A1365B1"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14" w:type="pct"/>
            <w:shd w:val="clear" w:color="auto" w:fill="009193"/>
          </w:tcPr>
          <w:p w14:paraId="15310E98"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1609A826"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187C13A" w14:textId="21641AE4"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2D761D0" w14:textId="18685A32"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B9721F" w:rsidRPr="00F205FA" w14:paraId="077223DE" w14:textId="4BD058E1" w:rsidTr="00571652">
        <w:tc>
          <w:tcPr>
            <w:tcW w:w="154" w:type="pct"/>
          </w:tcPr>
          <w:p w14:paraId="76100A68"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06C2E8A"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the characteristics of the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that its communications are aimed at and tailor communications accordingly so that they are likely to be understood? For example, does the firm aim to segment or target communications to make them more relevant to the intended recipients, rather than adopting a “one size fits all” approach?</w:t>
            </w:r>
          </w:p>
        </w:tc>
        <w:tc>
          <w:tcPr>
            <w:tcW w:w="1314" w:type="pct"/>
          </w:tcPr>
          <w:p w14:paraId="31426097" w14:textId="15C3ABDB"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work hard to deliver all client communications in a transparent and understandable way</w:t>
            </w:r>
          </w:p>
        </w:tc>
        <w:tc>
          <w:tcPr>
            <w:tcW w:w="1348" w:type="pct"/>
            <w:shd w:val="clear" w:color="auto" w:fill="D883FF"/>
          </w:tcPr>
          <w:p w14:paraId="5A804F61" w14:textId="4E5BA87C"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7BF0CF9"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2EE945F"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29492C4F" w14:textId="65BEB1D0" w:rsidTr="00571652">
        <w:tc>
          <w:tcPr>
            <w:tcW w:w="154" w:type="pct"/>
          </w:tcPr>
          <w:p w14:paraId="40D6B724"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083CC276"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help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navigate the information the firm provides, making it easy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to identify the key information and their available options?</w:t>
            </w:r>
          </w:p>
        </w:tc>
        <w:tc>
          <w:tcPr>
            <w:tcW w:w="1314" w:type="pct"/>
          </w:tcPr>
          <w:p w14:paraId="1DFCEF4D" w14:textId="11F1073D"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Client objective setting and delivery of them is the spine of our client facing financial planning process. Everything we do is predicated on the client understanding their planning roadmap, the dangers in its way and how to successfully implement</w:t>
            </w:r>
          </w:p>
        </w:tc>
        <w:tc>
          <w:tcPr>
            <w:tcW w:w="1348" w:type="pct"/>
            <w:shd w:val="clear" w:color="auto" w:fill="D883FF"/>
          </w:tcPr>
          <w:p w14:paraId="0B752CED" w14:textId="2AEE9C2F"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0F17FC"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FB86655"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4A2B4E52" w14:textId="403AA8B0" w:rsidTr="00571652">
        <w:tc>
          <w:tcPr>
            <w:tcW w:w="154" w:type="pct"/>
          </w:tcPr>
          <w:p w14:paraId="77358C9E"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C6072E5"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systems and processes in place to monitor the impact of communications on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understanding?</w:t>
            </w:r>
          </w:p>
        </w:tc>
        <w:tc>
          <w:tcPr>
            <w:tcW w:w="1314" w:type="pct"/>
          </w:tcPr>
          <w:p w14:paraId="7B24B1CD" w14:textId="54268E14"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file reviews.</w:t>
            </w:r>
          </w:p>
        </w:tc>
        <w:tc>
          <w:tcPr>
            <w:tcW w:w="1348" w:type="pct"/>
            <w:shd w:val="clear" w:color="auto" w:fill="FFFF00"/>
          </w:tcPr>
          <w:p w14:paraId="49C5F3EB" w14:textId="2B2D67B1"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B9721F">
              <w:rPr>
                <w:rFonts w:ascii="Century Gothic" w:hAnsi="Century Gothic"/>
                <w:color w:val="000000"/>
                <w:sz w:val="20"/>
                <w:szCs w:val="20"/>
              </w:rPr>
              <w:t>However, client response to rebalancing and fund switches needs monitoring for in-time responses, and we will look to improve this, if possible</w:t>
            </w:r>
          </w:p>
        </w:tc>
        <w:tc>
          <w:tcPr>
            <w:tcW w:w="570" w:type="pct"/>
            <w:shd w:val="clear" w:color="auto" w:fill="auto"/>
            <w:vAlign w:val="center"/>
          </w:tcPr>
          <w:p w14:paraId="3C63066C" w14:textId="3E510E48" w:rsidR="00B9721F"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30/04/23</w:t>
            </w:r>
          </w:p>
        </w:tc>
        <w:tc>
          <w:tcPr>
            <w:tcW w:w="543" w:type="pct"/>
            <w:shd w:val="clear" w:color="auto" w:fill="auto"/>
          </w:tcPr>
          <w:p w14:paraId="256651AA"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bl>
    <w:p w14:paraId="7A68725B" w14:textId="77777777" w:rsidR="00E80CDE" w:rsidRPr="00F205FA" w:rsidRDefault="00E80CDE" w:rsidP="00F205FA">
      <w:pPr>
        <w:widowControl w:val="0"/>
        <w:autoSpaceDE w:val="0"/>
        <w:autoSpaceDN w:val="0"/>
        <w:adjustRightInd w:val="0"/>
        <w:spacing w:before="160"/>
        <w:jc w:val="both"/>
        <w:rPr>
          <w:rFonts w:ascii="Century Gothic" w:hAnsi="Century Gothic"/>
          <w:color w:val="3D3D3D"/>
          <w:sz w:val="20"/>
          <w:szCs w:val="20"/>
        </w:rPr>
      </w:pPr>
    </w:p>
    <w:p w14:paraId="13F813B5"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2F18C9F7" w14:textId="77777777" w:rsidR="00E80CDE" w:rsidRPr="00F92EBA" w:rsidRDefault="00E80CDE" w:rsidP="00F205FA">
      <w:pPr>
        <w:widowControl w:val="0"/>
        <w:autoSpaceDE w:val="0"/>
        <w:autoSpaceDN w:val="0"/>
        <w:adjustRightInd w:val="0"/>
        <w:jc w:val="both"/>
        <w:rPr>
          <w:rFonts w:ascii="Century Gothic" w:hAnsi="Century Gothic"/>
          <w:b/>
          <w:bCs/>
        </w:rPr>
      </w:pPr>
      <w:r w:rsidRPr="00F92EBA">
        <w:rPr>
          <w:rFonts w:ascii="Century Gothic" w:hAnsi="Century Gothic"/>
          <w:b/>
          <w:bCs/>
        </w:rPr>
        <w:t>Outcome 4: Consumer support</w:t>
      </w:r>
    </w:p>
    <w:p w14:paraId="6508DFF2" w14:textId="77777777" w:rsidR="00E80CDE" w:rsidRPr="00F205FA" w:rsidRDefault="00E80CDE" w:rsidP="00F92EB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2084313D"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The questions in this section are based on information in Chapter 8 of the FCA non-Handbook guidance in Appendix 2 to </w:t>
      </w:r>
      <w:hyperlink r:id="rId14" w:history="1">
        <w:r w:rsidRPr="00F92EBA">
          <w:rPr>
            <w:rFonts w:ascii="Century Gothic" w:hAnsi="Century Gothic"/>
            <w:i/>
            <w:iCs/>
            <w:sz w:val="22"/>
            <w:szCs w:val="22"/>
          </w:rPr>
          <w:t>CP21/36</w:t>
        </w:r>
      </w:hyperlink>
      <w:r w:rsidRPr="00F92EBA">
        <w:rPr>
          <w:rFonts w:ascii="Century Gothic" w:hAnsi="Century Gothic"/>
          <w:sz w:val="22"/>
          <w:szCs w:val="22"/>
        </w:rPr>
        <w:t>.</w:t>
      </w:r>
    </w:p>
    <w:p w14:paraId="7D89E556" w14:textId="712E623C" w:rsidR="00853DFD" w:rsidRPr="00F92EBA" w:rsidRDefault="00E80CDE" w:rsidP="00A84EC5">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474EC0E4" w14:textId="77777777" w:rsidR="00F92EBA" w:rsidRPr="00F92EBA" w:rsidRDefault="00F92EBA" w:rsidP="00F92EBA">
      <w:pPr>
        <w:widowControl w:val="0"/>
        <w:autoSpaceDE w:val="0"/>
        <w:autoSpaceDN w:val="0"/>
        <w:adjustRightInd w:val="0"/>
        <w:jc w:val="both"/>
        <w:rPr>
          <w:rFonts w:ascii="Century Gothic" w:hAnsi="Century Gothic"/>
          <w:sz w:val="22"/>
          <w:szCs w:val="22"/>
        </w:rPr>
      </w:pPr>
    </w:p>
    <w:p w14:paraId="6342C15A"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130093FB" w14:textId="77777777" w:rsidR="00E80CDE" w:rsidRPr="00F92EB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2969"/>
        <w:gridCol w:w="3694"/>
        <w:gridCol w:w="3543"/>
        <w:gridCol w:w="1558"/>
        <w:gridCol w:w="1485"/>
      </w:tblGrid>
      <w:tr w:rsidR="00A84EC5" w:rsidRPr="00F92EBA" w14:paraId="0EB79133" w14:textId="0747F0C1" w:rsidTr="00A84EC5">
        <w:tc>
          <w:tcPr>
            <w:tcW w:w="154" w:type="pct"/>
            <w:shd w:val="clear" w:color="auto" w:fill="009193"/>
          </w:tcPr>
          <w:p w14:paraId="1839C872"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7BCB8318"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51" w:type="pct"/>
            <w:shd w:val="clear" w:color="auto" w:fill="009193"/>
          </w:tcPr>
          <w:p w14:paraId="49712D13"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15DB076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7FD5F6BB" w14:textId="2F3C3FC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6DEBC82B" w14:textId="3566F82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66C404D7" w14:textId="096B1256" w:rsidTr="00571652">
        <w:tc>
          <w:tcPr>
            <w:tcW w:w="154" w:type="pct"/>
          </w:tcPr>
          <w:p w14:paraId="334A0D6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AF0BA8D"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carried out (or is it intending to carry out) a gap analysis on </w:t>
            </w:r>
            <w:proofErr w:type="gramStart"/>
            <w:r w:rsidRPr="00F205FA">
              <w:rPr>
                <w:rFonts w:ascii="Century Gothic" w:hAnsi="Century Gothic"/>
                <w:color w:val="000000"/>
                <w:sz w:val="20"/>
                <w:szCs w:val="20"/>
              </w:rPr>
              <w:t>all of</w:t>
            </w:r>
            <w:proofErr w:type="gramEnd"/>
            <w:r w:rsidRPr="00F205FA">
              <w:rPr>
                <w:rFonts w:ascii="Century Gothic" w:hAnsi="Century Gothic"/>
                <w:color w:val="000000"/>
                <w:sz w:val="20"/>
                <w:szCs w:val="20"/>
              </w:rPr>
              <w:t xml:space="preserve"> its existing products/services (including closed products/services) comparing the current requirements to the proposed new requirements?</w:t>
            </w:r>
          </w:p>
        </w:tc>
        <w:tc>
          <w:tcPr>
            <w:tcW w:w="1351" w:type="pct"/>
          </w:tcPr>
          <w:p w14:paraId="40318B6A" w14:textId="32917AB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commentary elsewhere</w:t>
            </w:r>
          </w:p>
        </w:tc>
        <w:tc>
          <w:tcPr>
            <w:tcW w:w="1296" w:type="pct"/>
            <w:shd w:val="clear" w:color="auto" w:fill="D883FF"/>
          </w:tcPr>
          <w:p w14:paraId="47BE3354" w14:textId="5FA3183C"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CB3645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BAB125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2FD36A" w14:textId="1CEB1D59" w:rsidTr="00571652">
        <w:tc>
          <w:tcPr>
            <w:tcW w:w="154" w:type="pct"/>
          </w:tcPr>
          <w:p w14:paraId="08FA987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10B766A5"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The new requirements will be set out in a new chapter 2A.6 in </w:t>
            </w:r>
            <w:hyperlink r:id="rId15" w:history="1">
              <w:r w:rsidRPr="00F205FA">
                <w:rPr>
                  <w:rFonts w:ascii="Century Gothic" w:hAnsi="Century Gothic"/>
                  <w:i/>
                  <w:iCs/>
                  <w:color w:val="0E568C"/>
                  <w:sz w:val="20"/>
                  <w:szCs w:val="20"/>
                </w:rPr>
                <w:t>PRIN</w:t>
              </w:r>
            </w:hyperlink>
            <w:r w:rsidRPr="00F205FA">
              <w:rPr>
                <w:rFonts w:ascii="Century Gothic" w:hAnsi="Century Gothic"/>
                <w:color w:val="000000"/>
                <w:sz w:val="20"/>
                <w:szCs w:val="20"/>
              </w:rPr>
              <w:t xml:space="preserve"> in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Instrument 2022, which is in Appendix 1 to </w:t>
            </w:r>
            <w:hyperlink r:id="rId16" w:history="1">
              <w:r w:rsidRPr="00F205FA">
                <w:rPr>
                  <w:rFonts w:ascii="Century Gothic" w:hAnsi="Century Gothic"/>
                  <w:i/>
                  <w:iCs/>
                  <w:color w:val="0E568C"/>
                  <w:sz w:val="20"/>
                  <w:szCs w:val="20"/>
                </w:rPr>
                <w:t>CP21/36</w:t>
              </w:r>
            </w:hyperlink>
            <w:r w:rsidRPr="00F205FA">
              <w:rPr>
                <w:rFonts w:ascii="Century Gothic" w:hAnsi="Century Gothic"/>
                <w:color w:val="000000"/>
                <w:sz w:val="20"/>
                <w:szCs w:val="20"/>
              </w:rPr>
              <w:t xml:space="preserve">. This outcome sets overarching expectations relating to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and firms may need to go beyond the existing rules covering specific aspects of servicing customers (such as complaints handling and providing information) to deliver good outcomes.</w:t>
            </w:r>
          </w:p>
        </w:tc>
        <w:tc>
          <w:tcPr>
            <w:tcW w:w="1351" w:type="pct"/>
          </w:tcPr>
          <w:p w14:paraId="66E98CE0" w14:textId="6E15D193"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Noted. The rest of this analysis ensures that where relevant, this will be done</w:t>
            </w:r>
          </w:p>
        </w:tc>
        <w:tc>
          <w:tcPr>
            <w:tcW w:w="1296" w:type="pct"/>
            <w:shd w:val="clear" w:color="auto" w:fill="D883FF"/>
          </w:tcPr>
          <w:p w14:paraId="28CE4B69" w14:textId="7406A7BF"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2A5265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2D1AA7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1F1B545" w14:textId="40863801" w:rsidTr="00571652">
        <w:tc>
          <w:tcPr>
            <w:tcW w:w="154" w:type="pct"/>
          </w:tcPr>
          <w:p w14:paraId="7ECE3BEE"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8DE2307"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used systems </w:t>
            </w:r>
            <w:r w:rsidRPr="00F205FA">
              <w:rPr>
                <w:rFonts w:ascii="Century Gothic" w:hAnsi="Century Gothic"/>
                <w:color w:val="000000"/>
                <w:sz w:val="20"/>
                <w:szCs w:val="20"/>
              </w:rPr>
              <w:lastRenderedPageBreak/>
              <w:t>that are easy for customers to use?</w:t>
            </w:r>
          </w:p>
        </w:tc>
        <w:tc>
          <w:tcPr>
            <w:tcW w:w="1351" w:type="pct"/>
          </w:tcPr>
          <w:p w14:paraId="0CF2B044" w14:textId="594A88B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We believe so. We have had no </w:t>
            </w:r>
            <w:r>
              <w:rPr>
                <w:rFonts w:ascii="Century Gothic" w:hAnsi="Century Gothic"/>
                <w:color w:val="000000"/>
                <w:sz w:val="20"/>
                <w:szCs w:val="20"/>
              </w:rPr>
              <w:lastRenderedPageBreak/>
              <w:t>systematic feedback from customers to the contrary</w:t>
            </w:r>
          </w:p>
        </w:tc>
        <w:tc>
          <w:tcPr>
            <w:tcW w:w="1296" w:type="pct"/>
            <w:shd w:val="clear" w:color="auto" w:fill="D883FF"/>
          </w:tcPr>
          <w:p w14:paraId="5560E9AF" w14:textId="5F39287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570" w:type="pct"/>
            <w:shd w:val="clear" w:color="auto" w:fill="D883FF"/>
          </w:tcPr>
          <w:p w14:paraId="5549A34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81F59D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D478980" w14:textId="65C6E8B8" w:rsidTr="00571652">
        <w:tc>
          <w:tcPr>
            <w:tcW w:w="154" w:type="pct"/>
          </w:tcPr>
          <w:p w14:paraId="30C3D19D"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634D3AB1"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processes that support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throughout the product/service lifecycle:</w:t>
            </w:r>
          </w:p>
        </w:tc>
        <w:tc>
          <w:tcPr>
            <w:tcW w:w="1351" w:type="pct"/>
            <w:shd w:val="clear" w:color="auto" w:fill="BFBFBF" w:themeFill="background1" w:themeFillShade="BF"/>
          </w:tcPr>
          <w:p w14:paraId="24D19429"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172DA60A"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DF4080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1ADAC3AC"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5245172" w14:textId="55915561" w:rsidTr="00571652">
        <w:tc>
          <w:tcPr>
            <w:tcW w:w="154" w:type="pct"/>
          </w:tcPr>
          <w:p w14:paraId="4C72D25C"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6BFCEB9C" w14:textId="77777777"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pre-sale;</w:t>
            </w:r>
          </w:p>
        </w:tc>
        <w:tc>
          <w:tcPr>
            <w:tcW w:w="1351" w:type="pct"/>
          </w:tcPr>
          <w:p w14:paraId="60E7B7DB" w14:textId="03CA268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48533E3" w14:textId="301B3D3B"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9E738C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3855769"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4E81436" w14:textId="6D772392" w:rsidTr="00571652">
        <w:tc>
          <w:tcPr>
            <w:tcW w:w="154" w:type="pct"/>
          </w:tcPr>
          <w:p w14:paraId="0D557548"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2281102B" w14:textId="310858B4"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during sale; and</w:t>
            </w:r>
          </w:p>
        </w:tc>
        <w:tc>
          <w:tcPr>
            <w:tcW w:w="1351" w:type="pct"/>
          </w:tcPr>
          <w:p w14:paraId="4C560043" w14:textId="71C29A8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w:t>
            </w:r>
          </w:p>
        </w:tc>
        <w:tc>
          <w:tcPr>
            <w:tcW w:w="1296" w:type="pct"/>
            <w:shd w:val="clear" w:color="auto" w:fill="D883FF"/>
          </w:tcPr>
          <w:p w14:paraId="1A54DE7D" w14:textId="72276DD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106E1F6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E9C7C5F"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14284DE" w14:textId="245C0462" w:rsidTr="00571652">
        <w:tc>
          <w:tcPr>
            <w:tcW w:w="154" w:type="pct"/>
          </w:tcPr>
          <w:p w14:paraId="165C3B4E"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6B5BD116" w14:textId="77777777"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after-sale?</w:t>
            </w:r>
          </w:p>
        </w:tc>
        <w:tc>
          <w:tcPr>
            <w:tcW w:w="1351" w:type="pct"/>
          </w:tcPr>
          <w:p w14:paraId="3C712A36" w14:textId="0006571B"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5C6D1EC6" w14:textId="41A02DF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16F535F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920DC1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31B5F40B" w14:textId="7CA88345" w:rsidTr="00571652">
        <w:tc>
          <w:tcPr>
            <w:tcW w:w="154" w:type="pct"/>
          </w:tcPr>
          <w:p w14:paraId="4FF02AEA"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BAB2CEC"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effective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processes and communication strategies to deal with unexpected surges in demand for support?</w:t>
            </w:r>
          </w:p>
        </w:tc>
        <w:tc>
          <w:tcPr>
            <w:tcW w:w="1351" w:type="pct"/>
          </w:tcPr>
          <w:p w14:paraId="00E73261" w14:textId="175FACD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We have never had this. From </w:t>
            </w:r>
            <w:proofErr w:type="gramStart"/>
            <w:r>
              <w:rPr>
                <w:rFonts w:ascii="Century Gothic" w:hAnsi="Century Gothic"/>
                <w:color w:val="000000"/>
                <w:sz w:val="20"/>
                <w:szCs w:val="20"/>
              </w:rPr>
              <w:t>time to time</w:t>
            </w:r>
            <w:proofErr w:type="gramEnd"/>
            <w:r>
              <w:rPr>
                <w:rFonts w:ascii="Century Gothic" w:hAnsi="Century Gothic"/>
                <w:color w:val="000000"/>
                <w:sz w:val="20"/>
                <w:szCs w:val="20"/>
              </w:rPr>
              <w:t xml:space="preserve"> market conditions may make customers nervous but part of our client service is ongoing financial education preparing them for such events. Historic issues demonstrate this education process works</w:t>
            </w:r>
          </w:p>
        </w:tc>
        <w:tc>
          <w:tcPr>
            <w:tcW w:w="1296" w:type="pct"/>
            <w:shd w:val="clear" w:color="auto" w:fill="D883FF"/>
          </w:tcPr>
          <w:p w14:paraId="40846225" w14:textId="27F79C9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B6827B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7C0E65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5F7A8E05" w14:textId="6E50EC85" w:rsidTr="00571652">
        <w:tc>
          <w:tcPr>
            <w:tcW w:w="154" w:type="pct"/>
          </w:tcPr>
          <w:p w14:paraId="2C601DB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E5FE504"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design and deliver the support they provide to meet the needs of its customers? Does it adopt a flexible approach when dealing with customers in vulnerable circumstances and offer more than one channel of communication, so customers have a choice?</w:t>
            </w:r>
          </w:p>
        </w:tc>
        <w:tc>
          <w:tcPr>
            <w:tcW w:w="1351" w:type="pct"/>
          </w:tcPr>
          <w:p w14:paraId="3FE1C2DD" w14:textId="4BD6057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and yes</w:t>
            </w:r>
          </w:p>
        </w:tc>
        <w:tc>
          <w:tcPr>
            <w:tcW w:w="1296" w:type="pct"/>
            <w:shd w:val="clear" w:color="auto" w:fill="D883FF"/>
          </w:tcPr>
          <w:p w14:paraId="52FD6E3A" w14:textId="1595467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52858D01"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18E998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5B292BAE" w14:textId="2DB290F5" w:rsidR="00E80CDE" w:rsidRDefault="00E80CDE" w:rsidP="00F92EBA">
      <w:pPr>
        <w:widowControl w:val="0"/>
        <w:autoSpaceDE w:val="0"/>
        <w:autoSpaceDN w:val="0"/>
        <w:adjustRightInd w:val="0"/>
        <w:jc w:val="both"/>
        <w:rPr>
          <w:rFonts w:ascii="Century Gothic" w:hAnsi="Century Gothic"/>
          <w:sz w:val="20"/>
          <w:szCs w:val="20"/>
        </w:rPr>
      </w:pPr>
    </w:p>
    <w:p w14:paraId="366FE14B" w14:textId="77777777" w:rsidR="00F92EBA" w:rsidRPr="00F92EBA" w:rsidRDefault="00F92EBA" w:rsidP="00F92EBA">
      <w:pPr>
        <w:widowControl w:val="0"/>
        <w:autoSpaceDE w:val="0"/>
        <w:autoSpaceDN w:val="0"/>
        <w:adjustRightInd w:val="0"/>
        <w:jc w:val="both"/>
        <w:rPr>
          <w:rFonts w:ascii="Century Gothic" w:hAnsi="Century Gothic"/>
          <w:sz w:val="20"/>
          <w:szCs w:val="20"/>
        </w:rPr>
      </w:pPr>
    </w:p>
    <w:p w14:paraId="557D9BA2"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Avoiding foreseeable harm</w:t>
      </w:r>
    </w:p>
    <w:p w14:paraId="4EC8857E" w14:textId="77777777" w:rsidR="00E80CDE" w:rsidRPr="00F92EBA" w:rsidRDefault="00E80CDE" w:rsidP="00F92EBA">
      <w:pPr>
        <w:widowControl w:val="0"/>
        <w:autoSpaceDE w:val="0"/>
        <w:autoSpaceDN w:val="0"/>
        <w:adjustRightInd w:val="0"/>
        <w:jc w:val="both"/>
        <w:rPr>
          <w:rFonts w:ascii="Century Gothic" w:hAnsi="Century Gothic"/>
          <w:sz w:val="20"/>
          <w:szCs w:val="20"/>
        </w:rPr>
      </w:pPr>
    </w:p>
    <w:tbl>
      <w:tblPr>
        <w:tblStyle w:val="TableGrid"/>
        <w:tblW w:w="5001" w:type="pct"/>
        <w:tblLook w:val="04A0" w:firstRow="1" w:lastRow="0" w:firstColumn="1" w:lastColumn="0" w:noHBand="0" w:noVBand="1"/>
      </w:tblPr>
      <w:tblGrid>
        <w:gridCol w:w="421"/>
        <w:gridCol w:w="2970"/>
        <w:gridCol w:w="3694"/>
        <w:gridCol w:w="3544"/>
        <w:gridCol w:w="1559"/>
        <w:gridCol w:w="1485"/>
      </w:tblGrid>
      <w:tr w:rsidR="00A84EC5" w:rsidRPr="00F205FA" w14:paraId="267D65A5" w14:textId="33F7171E" w:rsidTr="00571652">
        <w:tc>
          <w:tcPr>
            <w:tcW w:w="154" w:type="pct"/>
            <w:shd w:val="clear" w:color="auto" w:fill="009193"/>
          </w:tcPr>
          <w:p w14:paraId="7DB6255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4FC34A07"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51" w:type="pct"/>
            <w:shd w:val="clear" w:color="auto" w:fill="009193"/>
          </w:tcPr>
          <w:p w14:paraId="11FBDD11"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065C8595"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4B0A0C51" w14:textId="622D9C1B"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93EB28A" w14:textId="0ACAB564"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56544A38" w14:textId="65542D66" w:rsidTr="00571652">
        <w:tc>
          <w:tcPr>
            <w:tcW w:w="154" w:type="pct"/>
          </w:tcPr>
          <w:p w14:paraId="33B12D7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2F2A868D"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regularly </w:t>
            </w:r>
            <w:r w:rsidRPr="00F205FA">
              <w:rPr>
                <w:rFonts w:ascii="Century Gothic" w:hAnsi="Century Gothic"/>
                <w:color w:val="000000"/>
                <w:sz w:val="20"/>
                <w:szCs w:val="20"/>
              </w:rPr>
              <w:lastRenderedPageBreak/>
              <w:t xml:space="preserve">monitor its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processes to ensure there are no systemic issues that create unreasonable barriers or costs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when they want to </w:t>
            </w:r>
            <w:proofErr w:type="gramStart"/>
            <w:r w:rsidRPr="00F205FA">
              <w:rPr>
                <w:rFonts w:ascii="Century Gothic" w:hAnsi="Century Gothic"/>
                <w:color w:val="000000"/>
                <w:sz w:val="20"/>
                <w:szCs w:val="20"/>
              </w:rPr>
              <w:t>take action</w:t>
            </w:r>
            <w:proofErr w:type="gramEnd"/>
            <w:r w:rsidRPr="00F205FA">
              <w:rPr>
                <w:rFonts w:ascii="Century Gothic" w:hAnsi="Century Gothic"/>
                <w:color w:val="000000"/>
                <w:sz w:val="20"/>
                <w:szCs w:val="20"/>
              </w:rPr>
              <w:t xml:space="preserve">? For example, is there consistently poor or excessively slow service, or are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helplines under-resourced?</w:t>
            </w:r>
          </w:p>
        </w:tc>
        <w:tc>
          <w:tcPr>
            <w:tcW w:w="1351" w:type="pct"/>
          </w:tcPr>
          <w:p w14:paraId="0D7891EA" w14:textId="0253E9CC"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We have a relatively small number </w:t>
            </w:r>
            <w:r>
              <w:rPr>
                <w:rFonts w:ascii="Century Gothic" w:hAnsi="Century Gothic"/>
                <w:color w:val="000000"/>
                <w:sz w:val="20"/>
                <w:szCs w:val="20"/>
              </w:rPr>
              <w:lastRenderedPageBreak/>
              <w:t xml:space="preserve">of clients and historically this has not been an issue for us. We have from time to time (infrequently) had </w:t>
            </w:r>
            <w:proofErr w:type="gramStart"/>
            <w:r>
              <w:rPr>
                <w:rFonts w:ascii="Century Gothic" w:hAnsi="Century Gothic"/>
                <w:color w:val="000000"/>
                <w:sz w:val="20"/>
                <w:szCs w:val="20"/>
              </w:rPr>
              <w:t>service</w:t>
            </w:r>
            <w:r w:rsidR="001023C6">
              <w:rPr>
                <w:rFonts w:ascii="Century Gothic" w:hAnsi="Century Gothic"/>
                <w:color w:val="000000"/>
                <w:sz w:val="20"/>
                <w:szCs w:val="20"/>
              </w:rPr>
              <w:t xml:space="preserve"> </w:t>
            </w:r>
            <w:r>
              <w:rPr>
                <w:rFonts w:ascii="Century Gothic" w:hAnsi="Century Gothic"/>
                <w:color w:val="000000"/>
                <w:sz w:val="20"/>
                <w:szCs w:val="20"/>
              </w:rPr>
              <w:t>related</w:t>
            </w:r>
            <w:proofErr w:type="gramEnd"/>
            <w:r>
              <w:rPr>
                <w:rFonts w:ascii="Century Gothic" w:hAnsi="Century Gothic"/>
                <w:color w:val="000000"/>
                <w:sz w:val="20"/>
                <w:szCs w:val="20"/>
              </w:rPr>
              <w:t xml:space="preserve"> expressions of dissatisfaction, but these have been discrete as opposed to systematic and down to inevitable human error (because humans are error prone) – analysis indicates that the human error is not down to under staffing.</w:t>
            </w:r>
          </w:p>
        </w:tc>
        <w:tc>
          <w:tcPr>
            <w:tcW w:w="1296" w:type="pct"/>
            <w:shd w:val="clear" w:color="auto" w:fill="D883FF"/>
          </w:tcPr>
          <w:p w14:paraId="65826472" w14:textId="500953D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While we accept that these things </w:t>
            </w:r>
            <w:proofErr w:type="gramStart"/>
            <w:r>
              <w:rPr>
                <w:rFonts w:ascii="Century Gothic" w:hAnsi="Century Gothic"/>
                <w:color w:val="000000"/>
                <w:sz w:val="20"/>
                <w:szCs w:val="20"/>
              </w:rPr>
              <w:lastRenderedPageBreak/>
              <w:t>happen</w:t>
            </w:r>
            <w:proofErr w:type="gramEnd"/>
            <w:r>
              <w:rPr>
                <w:rFonts w:ascii="Century Gothic" w:hAnsi="Century Gothic"/>
                <w:color w:val="000000"/>
                <w:sz w:val="20"/>
                <w:szCs w:val="20"/>
              </w:rPr>
              <w:t xml:space="preserve"> they do not reflect “business as usual” – we will not therefore be implementing an action for this. The level of its incidence is within our risk management tolerances.</w:t>
            </w:r>
          </w:p>
        </w:tc>
        <w:tc>
          <w:tcPr>
            <w:tcW w:w="570" w:type="pct"/>
            <w:shd w:val="clear" w:color="auto" w:fill="D883FF"/>
          </w:tcPr>
          <w:p w14:paraId="74FF1A4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95E970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571652" w:rsidRPr="00F205FA" w14:paraId="0BA31644" w14:textId="1DB63AA1" w:rsidTr="00571652">
        <w:tc>
          <w:tcPr>
            <w:tcW w:w="154" w:type="pct"/>
          </w:tcPr>
          <w:p w14:paraId="7AB03A41" w14:textId="77777777" w:rsidR="00571652" w:rsidRPr="00F800B9" w:rsidRDefault="00571652"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5B7CFBD" w14:textId="77777777" w:rsidR="00571652" w:rsidRPr="00F205FA" w:rsidRDefault="00571652"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ensured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not exposed to unreasonable additional costs (including non-financial costs) </w:t>
            </w:r>
            <w:proofErr w:type="gramStart"/>
            <w:r w:rsidRPr="00F205FA">
              <w:rPr>
                <w:rFonts w:ascii="Century Gothic" w:hAnsi="Century Gothic"/>
                <w:color w:val="000000"/>
                <w:sz w:val="20"/>
                <w:szCs w:val="20"/>
              </w:rPr>
              <w:t>as a result of</w:t>
            </w:r>
            <w:proofErr w:type="gramEnd"/>
            <w:r w:rsidRPr="00F205FA">
              <w:rPr>
                <w:rFonts w:ascii="Century Gothic" w:hAnsi="Century Gothic"/>
                <w:color w:val="000000"/>
                <w:sz w:val="20"/>
                <w:szCs w:val="20"/>
              </w:rPr>
              <w:t xml:space="preserve"> its services?</w:t>
            </w:r>
          </w:p>
        </w:tc>
        <w:tc>
          <w:tcPr>
            <w:tcW w:w="1351" w:type="pct"/>
          </w:tcPr>
          <w:p w14:paraId="07A976E1" w14:textId="04AF028F" w:rsidR="00571652" w:rsidRPr="00F205FA" w:rsidRDefault="00571652"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just doesn’t happen</w:t>
            </w:r>
          </w:p>
        </w:tc>
        <w:tc>
          <w:tcPr>
            <w:tcW w:w="1296" w:type="pct"/>
            <w:shd w:val="clear" w:color="auto" w:fill="D883FF"/>
          </w:tcPr>
          <w:p w14:paraId="0B425AD3" w14:textId="759DDB47" w:rsidR="00571652" w:rsidRPr="00F205FA" w:rsidRDefault="00571652"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6AD97B4" w14:textId="77777777" w:rsidR="00571652" w:rsidRDefault="00571652"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AE8A119" w14:textId="77777777" w:rsidR="00571652" w:rsidRDefault="00571652" w:rsidP="00A84EC5">
            <w:pPr>
              <w:widowControl w:val="0"/>
              <w:autoSpaceDE w:val="0"/>
              <w:autoSpaceDN w:val="0"/>
              <w:adjustRightInd w:val="0"/>
              <w:jc w:val="both"/>
              <w:rPr>
                <w:rFonts w:ascii="Century Gothic" w:hAnsi="Century Gothic"/>
                <w:color w:val="000000"/>
                <w:sz w:val="20"/>
                <w:szCs w:val="20"/>
              </w:rPr>
            </w:pPr>
          </w:p>
        </w:tc>
      </w:tr>
      <w:tr w:rsidR="00A84EC5" w:rsidRPr="00F205FA" w14:paraId="7A6842FC" w14:textId="3978F88D" w:rsidTr="00571652">
        <w:tc>
          <w:tcPr>
            <w:tcW w:w="154" w:type="pct"/>
          </w:tcPr>
          <w:p w14:paraId="0A99D85E" w14:textId="77777777" w:rsidR="00A84EC5" w:rsidRPr="00F800B9" w:rsidRDefault="00A84EC5"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B0E4153" w14:textId="77777777" w:rsidR="00A84EC5" w:rsidRPr="00F205FA" w:rsidRDefault="00A84EC5"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considered the information available on customer behaviour and feedback to identify whether customers, or groups of customers, are encountering unreasonable barriers or unreasonable additional costs as part of firms’ customer service provision?</w:t>
            </w:r>
          </w:p>
        </w:tc>
        <w:tc>
          <w:tcPr>
            <w:tcW w:w="1351" w:type="pct"/>
          </w:tcPr>
          <w:p w14:paraId="7CECE950" w14:textId="31849161"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but see 53.</w:t>
            </w:r>
          </w:p>
        </w:tc>
        <w:tc>
          <w:tcPr>
            <w:tcW w:w="1296" w:type="pct"/>
            <w:shd w:val="clear" w:color="auto" w:fill="D883FF"/>
          </w:tcPr>
          <w:p w14:paraId="27BF8BF0" w14:textId="5F1C2CAC"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DE00A8E"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0E40319"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r>
      <w:tr w:rsidR="00A84EC5" w:rsidRPr="00F205FA" w14:paraId="40F3B5C4" w14:textId="7657DA07" w:rsidTr="00571652">
        <w:tc>
          <w:tcPr>
            <w:tcW w:w="154" w:type="pct"/>
          </w:tcPr>
          <w:p w14:paraId="0CDEC4B9" w14:textId="77777777" w:rsidR="00A84EC5" w:rsidRPr="00F800B9" w:rsidRDefault="00A84EC5"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92D9465" w14:textId="77777777" w:rsidR="00A84EC5" w:rsidRPr="00F205FA" w:rsidRDefault="00A84EC5"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the firm accessible when customers have questions?</w:t>
            </w:r>
          </w:p>
        </w:tc>
        <w:tc>
          <w:tcPr>
            <w:tcW w:w="1351" w:type="pct"/>
          </w:tcPr>
          <w:p w14:paraId="44A2C075" w14:textId="06FB89BE"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2BE1335" w14:textId="1AED0CAB"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FEB76B3"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5439CD"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r>
    </w:tbl>
    <w:p w14:paraId="6090EE0D" w14:textId="7E89D97F" w:rsidR="00E80CDE" w:rsidRDefault="00E80CDE" w:rsidP="00F205FA">
      <w:pPr>
        <w:widowControl w:val="0"/>
        <w:autoSpaceDE w:val="0"/>
        <w:autoSpaceDN w:val="0"/>
        <w:adjustRightInd w:val="0"/>
        <w:jc w:val="both"/>
        <w:rPr>
          <w:rFonts w:ascii="Century Gothic" w:hAnsi="Century Gothic"/>
          <w:sz w:val="20"/>
          <w:szCs w:val="20"/>
        </w:rPr>
      </w:pPr>
    </w:p>
    <w:p w14:paraId="0969C870" w14:textId="77777777" w:rsidR="00F92EBA" w:rsidRPr="00F92EBA" w:rsidRDefault="00F92EBA" w:rsidP="00F205FA">
      <w:pPr>
        <w:widowControl w:val="0"/>
        <w:autoSpaceDE w:val="0"/>
        <w:autoSpaceDN w:val="0"/>
        <w:adjustRightInd w:val="0"/>
        <w:jc w:val="both"/>
        <w:rPr>
          <w:rFonts w:ascii="Century Gothic" w:hAnsi="Century Gothic"/>
          <w:sz w:val="20"/>
          <w:szCs w:val="20"/>
        </w:rPr>
      </w:pPr>
    </w:p>
    <w:p w14:paraId="33095E5C" w14:textId="77777777" w:rsidR="00E80CDE" w:rsidRPr="00F92EBA" w:rsidRDefault="00E80CDE" w:rsidP="00F205FA">
      <w:pPr>
        <w:widowControl w:val="0"/>
        <w:autoSpaceDE w:val="0"/>
        <w:autoSpaceDN w:val="0"/>
        <w:adjustRightInd w:val="0"/>
        <w:spacing w:before="160"/>
        <w:jc w:val="both"/>
        <w:rPr>
          <w:rFonts w:ascii="Century Gothic" w:hAnsi="Century Gothic"/>
          <w:sz w:val="22"/>
          <w:szCs w:val="22"/>
        </w:rPr>
      </w:pPr>
      <w:r w:rsidRPr="00F92EBA">
        <w:rPr>
          <w:rFonts w:ascii="Century Gothic" w:hAnsi="Century Gothic"/>
          <w:sz w:val="22"/>
          <w:szCs w:val="22"/>
        </w:rPr>
        <w:t xml:space="preserve">Enabling and supporting retail customers to pursue their financial </w:t>
      </w:r>
      <w:proofErr w:type="gramStart"/>
      <w:r w:rsidRPr="00F92EBA">
        <w:rPr>
          <w:rFonts w:ascii="Century Gothic" w:hAnsi="Century Gothic"/>
          <w:sz w:val="22"/>
          <w:szCs w:val="22"/>
        </w:rPr>
        <w:t>objectives</w:t>
      </w:r>
      <w:proofErr w:type="gramEnd"/>
    </w:p>
    <w:p w14:paraId="0975D002" w14:textId="77777777" w:rsidR="00E80CDE" w:rsidRPr="00F92EBA" w:rsidRDefault="00E80CDE" w:rsidP="00F205FA">
      <w:pPr>
        <w:widowControl w:val="0"/>
        <w:autoSpaceDE w:val="0"/>
        <w:autoSpaceDN w:val="0"/>
        <w:adjustRightInd w:val="0"/>
        <w:spacing w:before="16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2969"/>
        <w:gridCol w:w="3694"/>
        <w:gridCol w:w="3543"/>
        <w:gridCol w:w="1558"/>
        <w:gridCol w:w="1485"/>
      </w:tblGrid>
      <w:tr w:rsidR="00A84EC5" w:rsidRPr="00F205FA" w14:paraId="61B7C15A" w14:textId="163C07C8" w:rsidTr="00A84EC5">
        <w:tc>
          <w:tcPr>
            <w:tcW w:w="154" w:type="pct"/>
            <w:shd w:val="clear" w:color="auto" w:fill="009193"/>
          </w:tcPr>
          <w:p w14:paraId="07B99560"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75A443A3"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Issue</w:t>
            </w:r>
          </w:p>
        </w:tc>
        <w:tc>
          <w:tcPr>
            <w:tcW w:w="1351" w:type="pct"/>
            <w:shd w:val="clear" w:color="auto" w:fill="009193"/>
          </w:tcPr>
          <w:p w14:paraId="39C3B429"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Actioned / In place (Yes / No)</w:t>
            </w:r>
          </w:p>
        </w:tc>
        <w:tc>
          <w:tcPr>
            <w:tcW w:w="1296" w:type="pct"/>
            <w:shd w:val="clear" w:color="auto" w:fill="009193"/>
          </w:tcPr>
          <w:p w14:paraId="23E34AC2"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 xml:space="preserve">If no, action needed in carried </w:t>
            </w:r>
            <w:r w:rsidRPr="009736D6">
              <w:rPr>
                <w:rFonts w:ascii="Century Gothic" w:hAnsi="Century Gothic"/>
                <w:b/>
                <w:bCs/>
                <w:color w:val="FFFFFF" w:themeColor="background1"/>
                <w:sz w:val="20"/>
                <w:szCs w:val="20"/>
              </w:rPr>
              <w:lastRenderedPageBreak/>
              <w:t xml:space="preserve">forward to planning </w:t>
            </w:r>
          </w:p>
        </w:tc>
        <w:tc>
          <w:tcPr>
            <w:tcW w:w="570" w:type="pct"/>
            <w:shd w:val="clear" w:color="auto" w:fill="009193"/>
          </w:tcPr>
          <w:p w14:paraId="35D210F2" w14:textId="40C1C669"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Pr>
                <w:rFonts w:ascii="Century Gothic" w:hAnsi="Century Gothic"/>
                <w:b/>
                <w:bCs/>
                <w:color w:val="FFFFFF" w:themeColor="background1"/>
                <w:sz w:val="22"/>
                <w:szCs w:val="22"/>
              </w:rPr>
              <w:lastRenderedPageBreak/>
              <w:t>Due date</w:t>
            </w:r>
          </w:p>
        </w:tc>
        <w:tc>
          <w:tcPr>
            <w:tcW w:w="543" w:type="pct"/>
            <w:shd w:val="clear" w:color="auto" w:fill="009193"/>
          </w:tcPr>
          <w:p w14:paraId="1803479E" w14:textId="64E5715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Pr>
                <w:rFonts w:ascii="Century Gothic" w:hAnsi="Century Gothic"/>
                <w:b/>
                <w:bCs/>
                <w:color w:val="FFFFFF" w:themeColor="background1"/>
                <w:sz w:val="22"/>
                <w:szCs w:val="22"/>
              </w:rPr>
              <w:t xml:space="preserve">Completed </w:t>
            </w:r>
            <w:r>
              <w:rPr>
                <w:rFonts w:ascii="Century Gothic" w:hAnsi="Century Gothic"/>
                <w:b/>
                <w:bCs/>
                <w:color w:val="FFFFFF" w:themeColor="background1"/>
                <w:sz w:val="22"/>
                <w:szCs w:val="22"/>
              </w:rPr>
              <w:lastRenderedPageBreak/>
              <w:t>on</w:t>
            </w:r>
          </w:p>
        </w:tc>
      </w:tr>
      <w:tr w:rsidR="00A84EC5" w:rsidRPr="00F205FA" w14:paraId="2EFC3B54" w14:textId="50DF4892" w:rsidTr="00571652">
        <w:tc>
          <w:tcPr>
            <w:tcW w:w="154" w:type="pct"/>
          </w:tcPr>
          <w:p w14:paraId="61818178"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050C863"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design and deliver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in a way that does not create unreasonable barriers to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achieving the benefits of products/services or acting in their interests? This includes avoiding “sludge” in the design of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journeys, which uses friction to prevent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from taking actions such as cancelling a product or amending terms.</w:t>
            </w:r>
          </w:p>
        </w:tc>
        <w:tc>
          <w:tcPr>
            <w:tcW w:w="1351" w:type="pct"/>
          </w:tcPr>
          <w:p w14:paraId="7624581A" w14:textId="2D87DF9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From our side there is no incidence evidence. We are distributors however and as such are the conduits of manufacturer “sludge”, which </w:t>
            </w:r>
            <w:proofErr w:type="spellStart"/>
            <w:r>
              <w:rPr>
                <w:rFonts w:ascii="Century Gothic" w:hAnsi="Century Gothic"/>
                <w:color w:val="000000"/>
                <w:sz w:val="20"/>
                <w:szCs w:val="20"/>
              </w:rPr>
              <w:t>odes</w:t>
            </w:r>
            <w:proofErr w:type="spellEnd"/>
            <w:r>
              <w:rPr>
                <w:rFonts w:ascii="Century Gothic" w:hAnsi="Century Gothic"/>
                <w:color w:val="000000"/>
                <w:sz w:val="20"/>
                <w:szCs w:val="20"/>
              </w:rPr>
              <w:t xml:space="preserve"> occur from time to time. We are not in control of this but when it </w:t>
            </w:r>
            <w:proofErr w:type="gramStart"/>
            <w:r>
              <w:rPr>
                <w:rFonts w:ascii="Century Gothic" w:hAnsi="Century Gothic"/>
                <w:color w:val="000000"/>
                <w:sz w:val="20"/>
                <w:szCs w:val="20"/>
              </w:rPr>
              <w:t>happens</w:t>
            </w:r>
            <w:proofErr w:type="gramEnd"/>
            <w:r>
              <w:rPr>
                <w:rFonts w:ascii="Century Gothic" w:hAnsi="Century Gothic"/>
                <w:color w:val="000000"/>
                <w:sz w:val="20"/>
                <w:szCs w:val="20"/>
              </w:rPr>
              <w:t xml:space="preserve"> we are clear that we need to use best endeavours to resolve issues.</w:t>
            </w:r>
          </w:p>
        </w:tc>
        <w:tc>
          <w:tcPr>
            <w:tcW w:w="1296" w:type="pct"/>
            <w:shd w:val="clear" w:color="auto" w:fill="D883FF"/>
          </w:tcPr>
          <w:p w14:paraId="6B54CAFD" w14:textId="56E9B53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9E366C5"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0EFF08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AB0042D" w14:textId="2FEACBE0" w:rsidTr="00571652">
        <w:tc>
          <w:tcPr>
            <w:tcW w:w="154" w:type="pct"/>
          </w:tcPr>
          <w:p w14:paraId="1D7CE34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B26F101"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make it mandatory for customers to communicate via a certain channel? If it does, has it considered whether this is appropriate for </w:t>
            </w:r>
            <w:proofErr w:type="gramStart"/>
            <w:r w:rsidRPr="00F205FA">
              <w:rPr>
                <w:rFonts w:ascii="Century Gothic" w:hAnsi="Century Gothic"/>
                <w:color w:val="000000"/>
                <w:sz w:val="20"/>
                <w:szCs w:val="20"/>
              </w:rPr>
              <w:t>all of</w:t>
            </w:r>
            <w:proofErr w:type="gramEnd"/>
            <w:r w:rsidRPr="00F205FA">
              <w:rPr>
                <w:rFonts w:ascii="Century Gothic" w:hAnsi="Century Gothic"/>
                <w:color w:val="000000"/>
                <w:sz w:val="20"/>
                <w:szCs w:val="20"/>
              </w:rPr>
              <w:t xml:space="preserve"> its customers, including its vulnerable customers?</w:t>
            </w:r>
          </w:p>
        </w:tc>
        <w:tc>
          <w:tcPr>
            <w:tcW w:w="1351" w:type="pct"/>
          </w:tcPr>
          <w:p w14:paraId="7FF89CA2" w14:textId="24AFBA5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7F9DFAEB" w14:textId="7A194E7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CB6D2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D9C14A2"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4B19FFB" w14:textId="47D076E6" w:rsidTr="00571652">
        <w:tc>
          <w:tcPr>
            <w:tcW w:w="154" w:type="pct"/>
          </w:tcPr>
          <w:p w14:paraId="7D9D277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10FFB00A"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it at least as easy to switch product, leave a service or make a change, as it is to buy a product/service in the first place?</w:t>
            </w:r>
          </w:p>
        </w:tc>
        <w:tc>
          <w:tcPr>
            <w:tcW w:w="1351" w:type="pct"/>
          </w:tcPr>
          <w:p w14:paraId="3C111EEA" w14:textId="4CC0158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It is neither easy to acquire or exit a product. </w:t>
            </w:r>
            <w:proofErr w:type="gramStart"/>
            <w:r>
              <w:rPr>
                <w:rFonts w:ascii="Century Gothic" w:hAnsi="Century Gothic"/>
                <w:color w:val="000000"/>
                <w:sz w:val="20"/>
                <w:szCs w:val="20"/>
              </w:rPr>
              <w:t>However</w:t>
            </w:r>
            <w:proofErr w:type="gramEnd"/>
            <w:r>
              <w:rPr>
                <w:rFonts w:ascii="Century Gothic" w:hAnsi="Century Gothic"/>
                <w:color w:val="000000"/>
                <w:sz w:val="20"/>
                <w:szCs w:val="20"/>
              </w:rPr>
              <w:t xml:space="preserve"> we are not of the view that the products we use require that kind of speed. An exception may be in-specie transfers, but again, that is a sector / industry issue over which we have no control</w:t>
            </w:r>
          </w:p>
        </w:tc>
        <w:tc>
          <w:tcPr>
            <w:tcW w:w="1296" w:type="pct"/>
            <w:shd w:val="clear" w:color="auto" w:fill="D883FF"/>
          </w:tcPr>
          <w:p w14:paraId="77DBC215" w14:textId="2DA62D7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82FB657"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6E2C8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6D533FDD" w14:textId="2C77A182" w:rsidR="00E80CDE"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47BCF86" w14:textId="77777777" w:rsidR="00F92EBA" w:rsidRPr="00F205FA" w:rsidRDefault="00F92EBA" w:rsidP="00F205FA">
      <w:pPr>
        <w:widowControl w:val="0"/>
        <w:autoSpaceDE w:val="0"/>
        <w:autoSpaceDN w:val="0"/>
        <w:adjustRightInd w:val="0"/>
        <w:jc w:val="both"/>
        <w:rPr>
          <w:rFonts w:ascii="Century Gothic" w:hAnsi="Century Gothic"/>
          <w:color w:val="000000"/>
          <w:sz w:val="20"/>
          <w:szCs w:val="20"/>
        </w:rPr>
      </w:pPr>
    </w:p>
    <w:p w14:paraId="23C3A2C7" w14:textId="77777777" w:rsidR="00571652" w:rsidRDefault="00571652" w:rsidP="00F205FA">
      <w:pPr>
        <w:widowControl w:val="0"/>
        <w:autoSpaceDE w:val="0"/>
        <w:autoSpaceDN w:val="0"/>
        <w:adjustRightInd w:val="0"/>
        <w:jc w:val="both"/>
        <w:rPr>
          <w:rFonts w:ascii="Century Gothic" w:hAnsi="Century Gothic"/>
          <w:b/>
          <w:bCs/>
          <w:sz w:val="28"/>
          <w:szCs w:val="28"/>
        </w:rPr>
      </w:pPr>
    </w:p>
    <w:p w14:paraId="11072890" w14:textId="77777777" w:rsidR="00F17736" w:rsidRDefault="00F17736" w:rsidP="00F205FA">
      <w:pPr>
        <w:widowControl w:val="0"/>
        <w:autoSpaceDE w:val="0"/>
        <w:autoSpaceDN w:val="0"/>
        <w:adjustRightInd w:val="0"/>
        <w:jc w:val="both"/>
        <w:rPr>
          <w:rFonts w:ascii="Century Gothic" w:hAnsi="Century Gothic"/>
          <w:b/>
          <w:bCs/>
          <w:sz w:val="28"/>
          <w:szCs w:val="28"/>
        </w:rPr>
      </w:pPr>
    </w:p>
    <w:p w14:paraId="1FE6A007" w14:textId="77777777" w:rsidR="00F17736" w:rsidRDefault="00F17736" w:rsidP="00F205FA">
      <w:pPr>
        <w:widowControl w:val="0"/>
        <w:autoSpaceDE w:val="0"/>
        <w:autoSpaceDN w:val="0"/>
        <w:adjustRightInd w:val="0"/>
        <w:jc w:val="both"/>
        <w:rPr>
          <w:rFonts w:ascii="Century Gothic" w:hAnsi="Century Gothic"/>
          <w:b/>
          <w:bCs/>
          <w:sz w:val="28"/>
          <w:szCs w:val="28"/>
        </w:rPr>
      </w:pPr>
    </w:p>
    <w:p w14:paraId="2DC5FFC4" w14:textId="1A5AADA0" w:rsidR="00E80CDE" w:rsidRPr="00F92EBA" w:rsidRDefault="00E80CDE" w:rsidP="00F205FA">
      <w:pPr>
        <w:widowControl w:val="0"/>
        <w:autoSpaceDE w:val="0"/>
        <w:autoSpaceDN w:val="0"/>
        <w:adjustRightInd w:val="0"/>
        <w:jc w:val="both"/>
        <w:rPr>
          <w:rFonts w:ascii="Century Gothic" w:hAnsi="Century Gothic"/>
          <w:b/>
          <w:bCs/>
          <w:sz w:val="28"/>
          <w:szCs w:val="28"/>
          <w:shd w:val="clear" w:color="auto" w:fill="FFFFFF"/>
        </w:rPr>
      </w:pPr>
      <w:r w:rsidRPr="00F92EBA">
        <w:rPr>
          <w:rFonts w:ascii="Century Gothic" w:hAnsi="Century Gothic"/>
          <w:b/>
          <w:bCs/>
          <w:sz w:val="28"/>
          <w:szCs w:val="28"/>
        </w:rPr>
        <w:lastRenderedPageBreak/>
        <w:t>Monitoring compliance with consumer duty</w:t>
      </w:r>
    </w:p>
    <w:p w14:paraId="1FF1CD0F"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A547D89"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This section is relevant once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is in force. The questions are based on information in Chapter 9 of the FCA non-Handbook guidance in Appendix 2 to </w:t>
      </w:r>
      <w:hyperlink r:id="rId17" w:history="1">
        <w:r w:rsidRPr="00F205FA">
          <w:rPr>
            <w:rFonts w:ascii="Century Gothic" w:hAnsi="Century Gothic"/>
            <w:i/>
            <w:iCs/>
            <w:color w:val="0E568C"/>
            <w:sz w:val="22"/>
            <w:szCs w:val="22"/>
          </w:rPr>
          <w:t>CP21/36</w:t>
        </w:r>
      </w:hyperlink>
      <w:r w:rsidRPr="00F205FA">
        <w:rPr>
          <w:rFonts w:ascii="Century Gothic" w:hAnsi="Century Gothic"/>
          <w:color w:val="000000"/>
          <w:sz w:val="22"/>
          <w:szCs w:val="22"/>
        </w:rPr>
        <w:t>.</w:t>
      </w:r>
    </w:p>
    <w:p w14:paraId="3660B661" w14:textId="19C86870" w:rsidR="00E80CDE"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w:t>
      </w:r>
    </w:p>
    <w:p w14:paraId="385B60DD" w14:textId="5B65D8B5" w:rsidR="0042287A" w:rsidRDefault="0042287A" w:rsidP="00F205FA">
      <w:pPr>
        <w:widowControl w:val="0"/>
        <w:autoSpaceDE w:val="0"/>
        <w:autoSpaceDN w:val="0"/>
        <w:adjustRightInd w:val="0"/>
        <w:jc w:val="both"/>
        <w:rPr>
          <w:rFonts w:ascii="Century Gothic" w:hAnsi="Century Gothic"/>
          <w:color w:val="000000"/>
          <w:sz w:val="22"/>
          <w:szCs w:val="22"/>
        </w:rPr>
      </w:pPr>
    </w:p>
    <w:p w14:paraId="6D37793C" w14:textId="77777777" w:rsidR="0042287A" w:rsidRPr="00F205FA" w:rsidRDefault="0042287A" w:rsidP="00F205FA">
      <w:pPr>
        <w:widowControl w:val="0"/>
        <w:autoSpaceDE w:val="0"/>
        <w:autoSpaceDN w:val="0"/>
        <w:adjustRightInd w:val="0"/>
        <w:jc w:val="both"/>
        <w:rPr>
          <w:rFonts w:ascii="Century Gothic" w:hAnsi="Century Gothic"/>
          <w:color w:val="000000"/>
          <w:sz w:val="22"/>
          <w:szCs w:val="22"/>
        </w:rPr>
      </w:pPr>
    </w:p>
    <w:p w14:paraId="37417743"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5000" w:type="pct"/>
        <w:tblLook w:val="04A0" w:firstRow="1" w:lastRow="0" w:firstColumn="1" w:lastColumn="0" w:noHBand="0" w:noVBand="1"/>
      </w:tblPr>
      <w:tblGrid>
        <w:gridCol w:w="421"/>
        <w:gridCol w:w="2928"/>
        <w:gridCol w:w="3735"/>
        <w:gridCol w:w="3543"/>
        <w:gridCol w:w="1558"/>
        <w:gridCol w:w="1485"/>
      </w:tblGrid>
      <w:tr w:rsidR="00A84EC5" w:rsidRPr="00F205FA" w14:paraId="630EE7C6" w14:textId="17214628" w:rsidTr="00A84EC5">
        <w:tc>
          <w:tcPr>
            <w:tcW w:w="154" w:type="pct"/>
            <w:shd w:val="clear" w:color="auto" w:fill="009193"/>
          </w:tcPr>
          <w:p w14:paraId="65891EE1"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71" w:type="pct"/>
            <w:shd w:val="clear" w:color="auto" w:fill="009193"/>
          </w:tcPr>
          <w:p w14:paraId="587279E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3ABB566E"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3FEF86B0"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27EA0EBB" w14:textId="7879698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28D25D9" w14:textId="64D1B3C2"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14A0AC3D" w14:textId="2BF1F450" w:rsidTr="00571652">
        <w:tc>
          <w:tcPr>
            <w:tcW w:w="154" w:type="pct"/>
          </w:tcPr>
          <w:p w14:paraId="4DDE8EF7"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E1F731E"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How does the firm:</w:t>
            </w:r>
          </w:p>
        </w:tc>
        <w:tc>
          <w:tcPr>
            <w:tcW w:w="1366" w:type="pct"/>
            <w:shd w:val="clear" w:color="auto" w:fill="BFBFBF" w:themeFill="background1" w:themeFillShade="BF"/>
          </w:tcPr>
          <w:p w14:paraId="47903A7D"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0320992B"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1D0DB790"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7C366BEA"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5B4D8BF" w14:textId="4ED6DB74" w:rsidTr="00571652">
        <w:tc>
          <w:tcPr>
            <w:tcW w:w="154" w:type="pct"/>
          </w:tcPr>
          <w:p w14:paraId="72FC5AAE" w14:textId="77777777" w:rsidR="00A84EC5" w:rsidRPr="00F800B9" w:rsidRDefault="00A84EC5" w:rsidP="00F800B9">
            <w:pPr>
              <w:pStyle w:val="ListParagraph"/>
              <w:widowControl w:val="0"/>
              <w:numPr>
                <w:ilvl w:val="0"/>
                <w:numId w:val="13"/>
              </w:numPr>
              <w:autoSpaceDE w:val="0"/>
              <w:autoSpaceDN w:val="0"/>
              <w:adjustRightInd w:val="0"/>
              <w:jc w:val="both"/>
              <w:rPr>
                <w:rFonts w:ascii="Century Gothic" w:hAnsi="Century Gothic"/>
                <w:color w:val="000000"/>
                <w:sz w:val="20"/>
                <w:szCs w:val="20"/>
              </w:rPr>
            </w:pPr>
          </w:p>
        </w:tc>
        <w:tc>
          <w:tcPr>
            <w:tcW w:w="1071" w:type="pct"/>
          </w:tcPr>
          <w:p w14:paraId="562FB0BB"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identify and manage any risks to good outcomes for </w:t>
            </w:r>
            <w:r w:rsidRPr="00F205FA">
              <w:rPr>
                <w:rFonts w:ascii="Century Gothic" w:hAnsi="Century Gothic"/>
                <w:color w:val="252525"/>
                <w:sz w:val="20"/>
                <w:szCs w:val="20"/>
              </w:rPr>
              <w:t>consumers</w:t>
            </w:r>
            <w:r w:rsidRPr="00F205FA">
              <w:rPr>
                <w:rFonts w:ascii="Century Gothic" w:hAnsi="Century Gothic"/>
                <w:color w:val="000000"/>
                <w:sz w:val="20"/>
                <w:szCs w:val="20"/>
              </w:rPr>
              <w:t>; and</w:t>
            </w:r>
          </w:p>
        </w:tc>
        <w:tc>
          <w:tcPr>
            <w:tcW w:w="1366" w:type="pct"/>
          </w:tcPr>
          <w:p w14:paraId="7E9BE8F2" w14:textId="11A5ED3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File reviews, CPD reviews, KPI reviews</w:t>
            </w:r>
          </w:p>
        </w:tc>
        <w:tc>
          <w:tcPr>
            <w:tcW w:w="1296" w:type="pct"/>
            <w:shd w:val="clear" w:color="auto" w:fill="D883FF"/>
          </w:tcPr>
          <w:p w14:paraId="3E448526" w14:textId="5C98C75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A2D415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ADDD4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035CEA1" w14:textId="600E314C" w:rsidTr="00571652">
        <w:tc>
          <w:tcPr>
            <w:tcW w:w="154" w:type="pct"/>
          </w:tcPr>
          <w:p w14:paraId="65EBFE56" w14:textId="77777777" w:rsidR="00A84EC5" w:rsidRPr="00F800B9" w:rsidRDefault="00A84EC5" w:rsidP="00F800B9">
            <w:pPr>
              <w:pStyle w:val="ListParagraph"/>
              <w:widowControl w:val="0"/>
              <w:numPr>
                <w:ilvl w:val="0"/>
                <w:numId w:val="13"/>
              </w:numPr>
              <w:autoSpaceDE w:val="0"/>
              <w:autoSpaceDN w:val="0"/>
              <w:adjustRightInd w:val="0"/>
              <w:jc w:val="both"/>
              <w:rPr>
                <w:rFonts w:ascii="Century Gothic" w:hAnsi="Century Gothic"/>
                <w:color w:val="000000"/>
                <w:sz w:val="20"/>
                <w:szCs w:val="20"/>
              </w:rPr>
            </w:pPr>
          </w:p>
        </w:tc>
        <w:tc>
          <w:tcPr>
            <w:tcW w:w="1071" w:type="pct"/>
          </w:tcPr>
          <w:p w14:paraId="2989191D"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identify where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getting poor outcomes and understand the root cause?</w:t>
            </w:r>
          </w:p>
        </w:tc>
        <w:tc>
          <w:tcPr>
            <w:tcW w:w="1366" w:type="pct"/>
          </w:tcPr>
          <w:p w14:paraId="0B952848" w14:textId="0F4B571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Complaints procedures</w:t>
            </w:r>
          </w:p>
        </w:tc>
        <w:tc>
          <w:tcPr>
            <w:tcW w:w="1296" w:type="pct"/>
            <w:shd w:val="clear" w:color="auto" w:fill="D883FF"/>
          </w:tcPr>
          <w:p w14:paraId="74371537" w14:textId="337E8B6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73F745E"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B86284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1DD85F2" w14:textId="04C3BBFB" w:rsidTr="00571652">
        <w:tc>
          <w:tcPr>
            <w:tcW w:w="154" w:type="pct"/>
          </w:tcPr>
          <w:p w14:paraId="2B449C7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0233D1B0"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Tied into the above, has the firm identified relevant sources of data to enable it to assess whether the outcomes that its customers are experiencing are consistent with its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The type of information firms use will vary depending on their size, client base and the types of products/services </w:t>
            </w:r>
            <w:r w:rsidRPr="00F205FA">
              <w:rPr>
                <w:rFonts w:ascii="Century Gothic" w:hAnsi="Century Gothic"/>
                <w:color w:val="000000"/>
                <w:sz w:val="20"/>
                <w:szCs w:val="20"/>
              </w:rPr>
              <w:lastRenderedPageBreak/>
              <w:t>they offer. Does it include:</w:t>
            </w:r>
          </w:p>
        </w:tc>
        <w:tc>
          <w:tcPr>
            <w:tcW w:w="1366" w:type="pct"/>
            <w:shd w:val="clear" w:color="auto" w:fill="BFBFBF" w:themeFill="background1" w:themeFillShade="BF"/>
          </w:tcPr>
          <w:p w14:paraId="18FFF4E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2E620819"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278A127E"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640F48A6"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FBBDE64" w14:textId="3962F88C" w:rsidTr="00571652">
        <w:tc>
          <w:tcPr>
            <w:tcW w:w="154" w:type="pct"/>
          </w:tcPr>
          <w:p w14:paraId="2A6846BE"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7D6EB8D8"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analysing customer retention records (for example, claims and cancellation rates and details of why customers leave);</w:t>
            </w:r>
          </w:p>
        </w:tc>
        <w:tc>
          <w:tcPr>
            <w:tcW w:w="1366" w:type="pct"/>
          </w:tcPr>
          <w:p w14:paraId="1BB634CD" w14:textId="364D5F9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w:t>
            </w:r>
          </w:p>
        </w:tc>
        <w:tc>
          <w:tcPr>
            <w:tcW w:w="1296" w:type="pct"/>
            <w:shd w:val="clear" w:color="auto" w:fill="00B0F0"/>
          </w:tcPr>
          <w:p w14:paraId="3814598A" w14:textId="7CBC0BD6"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do this</w:t>
            </w:r>
            <w:r>
              <w:rPr>
                <w:rFonts w:ascii="Century Gothic" w:hAnsi="Century Gothic"/>
                <w:color w:val="000000"/>
                <w:sz w:val="20"/>
                <w:szCs w:val="20"/>
              </w:rPr>
              <w:t xml:space="preserve"> by collecting data</w:t>
            </w:r>
          </w:p>
        </w:tc>
        <w:tc>
          <w:tcPr>
            <w:tcW w:w="570" w:type="pct"/>
            <w:shd w:val="clear" w:color="auto" w:fill="auto"/>
            <w:vAlign w:val="center"/>
          </w:tcPr>
          <w:p w14:paraId="0F87BE9B" w14:textId="4B4A6D87"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auto"/>
            <w:vAlign w:val="center"/>
          </w:tcPr>
          <w:p w14:paraId="24E5F072" w14:textId="77777777" w:rsidR="00A84EC5" w:rsidRDefault="00A84EC5" w:rsidP="00571652">
            <w:pPr>
              <w:widowControl w:val="0"/>
              <w:autoSpaceDE w:val="0"/>
              <w:autoSpaceDN w:val="0"/>
              <w:adjustRightInd w:val="0"/>
              <w:jc w:val="center"/>
              <w:rPr>
                <w:rFonts w:ascii="Century Gothic" w:hAnsi="Century Gothic"/>
                <w:color w:val="000000"/>
                <w:sz w:val="20"/>
                <w:szCs w:val="20"/>
              </w:rPr>
            </w:pPr>
          </w:p>
        </w:tc>
      </w:tr>
      <w:tr w:rsidR="00A84EC5" w:rsidRPr="00F205FA" w14:paraId="61AFAAF3" w14:textId="24461A3C" w:rsidTr="00571652">
        <w:tc>
          <w:tcPr>
            <w:tcW w:w="154" w:type="pct"/>
          </w:tcPr>
          <w:p w14:paraId="654FABAB"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3C79BD60"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reviewing customer files;</w:t>
            </w:r>
          </w:p>
        </w:tc>
        <w:tc>
          <w:tcPr>
            <w:tcW w:w="1366" w:type="pct"/>
          </w:tcPr>
          <w:p w14:paraId="2562E830" w14:textId="07FCEF5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5E724AE2" w14:textId="106E5573"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6D2FC9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0693AF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775C8E1" w14:textId="50075D3C" w:rsidTr="00571652">
        <w:tc>
          <w:tcPr>
            <w:tcW w:w="154" w:type="pct"/>
          </w:tcPr>
          <w:p w14:paraId="2B3E06DE"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059A3D48"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considering customer feedback, including complaints and root cause analysis of complaints;</w:t>
            </w:r>
          </w:p>
        </w:tc>
        <w:tc>
          <w:tcPr>
            <w:tcW w:w="1366" w:type="pct"/>
          </w:tcPr>
          <w:p w14:paraId="092DA357" w14:textId="1D8C92E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6DFEC37" w14:textId="4DBFB7C9"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6411EE5"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590A249"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691E15" w14:textId="58AE9C0A" w:rsidTr="00A84EC5">
        <w:tc>
          <w:tcPr>
            <w:tcW w:w="154" w:type="pct"/>
          </w:tcPr>
          <w:p w14:paraId="0CA843D9"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2E3F82B9"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considering honest feedback from staff;</w:t>
            </w:r>
          </w:p>
        </w:tc>
        <w:tc>
          <w:tcPr>
            <w:tcW w:w="1366" w:type="pct"/>
          </w:tcPr>
          <w:p w14:paraId="5586B119" w14:textId="4999627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believe so – staff have open forums to discuss process failures and improvements</w:t>
            </w:r>
          </w:p>
        </w:tc>
        <w:tc>
          <w:tcPr>
            <w:tcW w:w="1296" w:type="pct"/>
            <w:shd w:val="clear" w:color="auto" w:fill="D883FF"/>
          </w:tcPr>
          <w:p w14:paraId="2B44E745" w14:textId="4041E4A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3B96BD8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DA51D7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B6EBF14" w14:textId="02679B40" w:rsidTr="00571652">
        <w:tc>
          <w:tcPr>
            <w:tcW w:w="154" w:type="pct"/>
          </w:tcPr>
          <w:p w14:paraId="14B3C135"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4F07BCDC"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testing customers’ experiences;</w:t>
            </w:r>
          </w:p>
        </w:tc>
        <w:tc>
          <w:tcPr>
            <w:tcW w:w="1366" w:type="pct"/>
          </w:tcPr>
          <w:p w14:paraId="76E51D02" w14:textId="440CE39D" w:rsidR="00A84EC5" w:rsidRPr="00F205FA" w:rsidRDefault="00A84EC5" w:rsidP="00F205FA">
            <w:pPr>
              <w:widowControl w:val="0"/>
              <w:autoSpaceDE w:val="0"/>
              <w:autoSpaceDN w:val="0"/>
              <w:adjustRightInd w:val="0"/>
              <w:jc w:val="both"/>
              <w:rPr>
                <w:rFonts w:ascii="Century Gothic" w:hAnsi="Century Gothic"/>
                <w:color w:val="000000"/>
                <w:sz w:val="20"/>
                <w:szCs w:val="20"/>
              </w:rPr>
            </w:pPr>
            <w:proofErr w:type="gramStart"/>
            <w:r>
              <w:rPr>
                <w:rFonts w:ascii="Century Gothic" w:hAnsi="Century Gothic"/>
                <w:color w:val="000000"/>
                <w:sz w:val="20"/>
                <w:szCs w:val="20"/>
              </w:rPr>
              <w:t>Yes</w:t>
            </w:r>
            <w:proofErr w:type="gramEnd"/>
            <w:r>
              <w:rPr>
                <w:rFonts w:ascii="Century Gothic" w:hAnsi="Century Gothic"/>
                <w:color w:val="000000"/>
                <w:sz w:val="20"/>
                <w:szCs w:val="20"/>
              </w:rPr>
              <w:t xml:space="preserve"> through complaints incidence</w:t>
            </w:r>
          </w:p>
        </w:tc>
        <w:tc>
          <w:tcPr>
            <w:tcW w:w="1296" w:type="pct"/>
            <w:shd w:val="clear" w:color="auto" w:fill="D883FF"/>
          </w:tcPr>
          <w:p w14:paraId="4E96D4CE" w14:textId="38A76C3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C2400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BBB8AE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CCE0A2B" w14:textId="44CC1FDA" w:rsidTr="00571652">
        <w:tc>
          <w:tcPr>
            <w:tcW w:w="154" w:type="pct"/>
          </w:tcPr>
          <w:p w14:paraId="32A50662"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7FF2A634"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reviewing customer satisfaction surveys; and</w:t>
            </w:r>
          </w:p>
        </w:tc>
        <w:tc>
          <w:tcPr>
            <w:tcW w:w="1366" w:type="pct"/>
          </w:tcPr>
          <w:p w14:paraId="1ADF1978" w14:textId="2AA894D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w:t>
            </w:r>
          </w:p>
        </w:tc>
        <w:tc>
          <w:tcPr>
            <w:tcW w:w="1296" w:type="pct"/>
            <w:shd w:val="clear" w:color="auto" w:fill="FFFF00"/>
          </w:tcPr>
          <w:p w14:paraId="7BE0DEBE" w14:textId="74A80451" w:rsidR="00A84EC5" w:rsidRPr="00F205FA" w:rsidRDefault="00571652" w:rsidP="00F205FA">
            <w:pPr>
              <w:widowControl w:val="0"/>
              <w:autoSpaceDE w:val="0"/>
              <w:autoSpaceDN w:val="0"/>
              <w:adjustRightInd w:val="0"/>
              <w:jc w:val="both"/>
              <w:rPr>
                <w:rFonts w:ascii="Century Gothic" w:hAnsi="Century Gothic"/>
                <w:color w:val="000000"/>
                <w:sz w:val="20"/>
                <w:szCs w:val="20"/>
              </w:rPr>
            </w:pPr>
            <w:proofErr w:type="gramStart"/>
            <w:r>
              <w:rPr>
                <w:rFonts w:ascii="Century Gothic" w:hAnsi="Century Gothic"/>
                <w:color w:val="000000"/>
                <w:sz w:val="20"/>
                <w:szCs w:val="20"/>
              </w:rPr>
              <w:t>Action;</w:t>
            </w:r>
            <w:proofErr w:type="gramEnd"/>
            <w:r>
              <w:rPr>
                <w:rFonts w:ascii="Century Gothic" w:hAnsi="Century Gothic"/>
                <w:color w:val="000000"/>
                <w:sz w:val="20"/>
                <w:szCs w:val="20"/>
              </w:rPr>
              <w:t xml:space="preserve"> </w:t>
            </w:r>
            <w:r w:rsidR="00A84EC5">
              <w:rPr>
                <w:rFonts w:ascii="Century Gothic" w:hAnsi="Century Gothic"/>
                <w:color w:val="000000"/>
                <w:sz w:val="20"/>
                <w:szCs w:val="20"/>
              </w:rPr>
              <w:t>As above we will implement through annual reviews</w:t>
            </w:r>
            <w:r>
              <w:rPr>
                <w:rFonts w:ascii="Century Gothic" w:hAnsi="Century Gothic"/>
                <w:color w:val="000000"/>
                <w:sz w:val="20"/>
                <w:szCs w:val="20"/>
              </w:rPr>
              <w:t>. Also link to item 30 above</w:t>
            </w:r>
          </w:p>
        </w:tc>
        <w:tc>
          <w:tcPr>
            <w:tcW w:w="570" w:type="pct"/>
            <w:shd w:val="clear" w:color="auto" w:fill="auto"/>
            <w:vAlign w:val="center"/>
          </w:tcPr>
          <w:p w14:paraId="47036C30" w14:textId="44423D0F"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auto"/>
          </w:tcPr>
          <w:p w14:paraId="65EEC290"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52D803EE" w14:textId="13AAFC63" w:rsidTr="00571652">
        <w:tc>
          <w:tcPr>
            <w:tcW w:w="154" w:type="pct"/>
          </w:tcPr>
          <w:p w14:paraId="07690A3D"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63BA67F3"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reviewing whether processes and policies are effective in delivering good </w:t>
            </w:r>
            <w:r w:rsidRPr="00F205FA">
              <w:rPr>
                <w:rFonts w:ascii="Century Gothic" w:hAnsi="Century Gothic"/>
                <w:color w:val="000000"/>
                <w:sz w:val="20"/>
                <w:szCs w:val="20"/>
              </w:rPr>
              <w:lastRenderedPageBreak/>
              <w:t>outcomes for customers?</w:t>
            </w:r>
          </w:p>
        </w:tc>
        <w:tc>
          <w:tcPr>
            <w:tcW w:w="1366" w:type="pct"/>
          </w:tcPr>
          <w:p w14:paraId="0132D269" w14:textId="06B75B3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We are a small firm and having effective procedure monitoring is beyond our capacity. We limit incidents and client detriment risk though independent file reviews. This is an </w:t>
            </w:r>
            <w:proofErr w:type="gramStart"/>
            <w:r>
              <w:rPr>
                <w:rFonts w:ascii="Century Gothic" w:hAnsi="Century Gothic"/>
                <w:color w:val="000000"/>
                <w:sz w:val="20"/>
                <w:szCs w:val="20"/>
              </w:rPr>
              <w:t>outcomes based</w:t>
            </w:r>
            <w:proofErr w:type="gramEnd"/>
            <w:r>
              <w:rPr>
                <w:rFonts w:ascii="Century Gothic" w:hAnsi="Century Gothic"/>
                <w:color w:val="000000"/>
                <w:sz w:val="20"/>
                <w:szCs w:val="20"/>
              </w:rPr>
              <w:t xml:space="preserve"> metric – that </w:t>
            </w:r>
            <w:r>
              <w:rPr>
                <w:rFonts w:ascii="Century Gothic" w:hAnsi="Century Gothic"/>
                <w:color w:val="000000"/>
                <w:sz w:val="20"/>
                <w:szCs w:val="20"/>
              </w:rPr>
              <w:lastRenderedPageBreak/>
              <w:t>is, is there actual or potential client harm, rather than tick box base inputs, which runs the risk of missing the potential detriment</w:t>
            </w:r>
          </w:p>
        </w:tc>
        <w:tc>
          <w:tcPr>
            <w:tcW w:w="1296" w:type="pct"/>
            <w:shd w:val="clear" w:color="auto" w:fill="D883FF"/>
          </w:tcPr>
          <w:p w14:paraId="15BEC6A9" w14:textId="77B463B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570" w:type="pct"/>
            <w:shd w:val="clear" w:color="auto" w:fill="D883FF"/>
          </w:tcPr>
          <w:p w14:paraId="46846AF1"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1A10EE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9141EC3" w14:textId="3AC64CFA" w:rsidTr="00571652">
        <w:tc>
          <w:tcPr>
            <w:tcW w:w="154" w:type="pct"/>
          </w:tcPr>
          <w:p w14:paraId="441BB23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758FD32C"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a process in place to ensure the relevant data is collected and regularly reviewed at an appropriate level?</w:t>
            </w:r>
          </w:p>
        </w:tc>
        <w:tc>
          <w:tcPr>
            <w:tcW w:w="1366" w:type="pct"/>
          </w:tcPr>
          <w:p w14:paraId="29A522DE" w14:textId="036D065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file reviews, and through the FCA monitoring (RMARS etc)</w:t>
            </w:r>
          </w:p>
        </w:tc>
        <w:tc>
          <w:tcPr>
            <w:tcW w:w="1296" w:type="pct"/>
            <w:shd w:val="clear" w:color="auto" w:fill="D883FF"/>
          </w:tcPr>
          <w:p w14:paraId="3F375712" w14:textId="715293F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4FFB78F"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483D31B"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30ED9791" w14:textId="3046AD2B" w:rsidTr="00571652">
        <w:tc>
          <w:tcPr>
            <w:tcW w:w="154" w:type="pct"/>
          </w:tcPr>
          <w:p w14:paraId="23ECF4C9"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477839B"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have processes in place to adapt and change products/services or policies/practices to address any risks or issues as appropriate?</w:t>
            </w:r>
          </w:p>
        </w:tc>
        <w:tc>
          <w:tcPr>
            <w:tcW w:w="1366" w:type="pct"/>
          </w:tcPr>
          <w:p w14:paraId="0800C12E" w14:textId="20B993C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Once identified, yes</w:t>
            </w:r>
          </w:p>
        </w:tc>
        <w:tc>
          <w:tcPr>
            <w:tcW w:w="1296" w:type="pct"/>
            <w:shd w:val="clear" w:color="auto" w:fill="D883FF"/>
          </w:tcPr>
          <w:p w14:paraId="1FFFBC75" w14:textId="6D32C52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32EEA77"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26E15D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13CF88EB" w14:textId="74490DC1" w:rsidTr="00571652">
        <w:tc>
          <w:tcPr>
            <w:tcW w:w="154" w:type="pct"/>
          </w:tcPr>
          <w:p w14:paraId="25DC5EF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233A93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established a record-keeping policy </w:t>
            </w:r>
            <w:proofErr w:type="gramStart"/>
            <w:r w:rsidRPr="00F205FA">
              <w:rPr>
                <w:rFonts w:ascii="Century Gothic" w:hAnsi="Century Gothic"/>
                <w:color w:val="000000"/>
                <w:sz w:val="20"/>
                <w:szCs w:val="20"/>
              </w:rPr>
              <w:t>with regard to</w:t>
            </w:r>
            <w:proofErr w:type="gramEnd"/>
            <w:r w:rsidRPr="00F205FA">
              <w:rPr>
                <w:rFonts w:ascii="Century Gothic" w:hAnsi="Century Gothic"/>
                <w:color w:val="000000"/>
                <w:sz w:val="20"/>
                <w:szCs w:val="20"/>
              </w:rPr>
              <w:t xml:space="preserve"> its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62EF25AD" w14:textId="2B1D499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w:t>
            </w:r>
          </w:p>
        </w:tc>
        <w:tc>
          <w:tcPr>
            <w:tcW w:w="1296" w:type="pct"/>
            <w:shd w:val="clear" w:color="auto" w:fill="FF7E79"/>
          </w:tcPr>
          <w:p w14:paraId="0B854C5F" w14:textId="5E5B4903"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see what data we currently collect and change it up where necessary to ensure consumer duty is effectively implemented and maintained</w:t>
            </w:r>
          </w:p>
        </w:tc>
        <w:tc>
          <w:tcPr>
            <w:tcW w:w="570" w:type="pct"/>
            <w:shd w:val="clear" w:color="auto" w:fill="auto"/>
            <w:vAlign w:val="center"/>
          </w:tcPr>
          <w:p w14:paraId="796E0C3D" w14:textId="464B54CE"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auto"/>
          </w:tcPr>
          <w:p w14:paraId="31A1A2D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7475E51E" w14:textId="77777777" w:rsidR="00E80CDE" w:rsidRPr="00F800B9" w:rsidRDefault="00E80CDE" w:rsidP="00F800B9">
      <w:pPr>
        <w:widowControl w:val="0"/>
        <w:autoSpaceDE w:val="0"/>
        <w:autoSpaceDN w:val="0"/>
        <w:adjustRightInd w:val="0"/>
        <w:jc w:val="both"/>
        <w:rPr>
          <w:rFonts w:ascii="Century Gothic" w:hAnsi="Century Gothic"/>
          <w:color w:val="000000"/>
          <w:sz w:val="20"/>
          <w:szCs w:val="20"/>
        </w:rPr>
      </w:pPr>
    </w:p>
    <w:p w14:paraId="69E3A310" w14:textId="185358F9" w:rsidR="00E80CDE" w:rsidRDefault="00E80CDE" w:rsidP="00F205FA">
      <w:pPr>
        <w:widowControl w:val="0"/>
        <w:autoSpaceDE w:val="0"/>
        <w:autoSpaceDN w:val="0"/>
        <w:adjustRightInd w:val="0"/>
        <w:jc w:val="both"/>
        <w:rPr>
          <w:rFonts w:ascii="Century Gothic" w:hAnsi="Century Gothic"/>
          <w:color w:val="000000"/>
          <w:sz w:val="20"/>
          <w:szCs w:val="20"/>
        </w:rPr>
      </w:pPr>
    </w:p>
    <w:p w14:paraId="50891568" w14:textId="2147DA1A" w:rsidR="00A84EC5" w:rsidRDefault="00A84EC5" w:rsidP="00F205FA">
      <w:pPr>
        <w:widowControl w:val="0"/>
        <w:autoSpaceDE w:val="0"/>
        <w:autoSpaceDN w:val="0"/>
        <w:adjustRightInd w:val="0"/>
        <w:jc w:val="both"/>
        <w:rPr>
          <w:rFonts w:ascii="Century Gothic" w:hAnsi="Century Gothic"/>
          <w:color w:val="000000"/>
          <w:sz w:val="20"/>
          <w:szCs w:val="20"/>
        </w:rPr>
      </w:pPr>
    </w:p>
    <w:p w14:paraId="47866B7E"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694B5F0C"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3B14245E"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6BF01223"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1AD2A96F"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1C264720"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51174730"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651F97A4"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4C4BF1DF"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403B6A91"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6F223AD3"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5E006C9F"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33E5E3E2" w14:textId="77777777" w:rsidR="00F17736" w:rsidRDefault="00F17736" w:rsidP="00F205FA">
      <w:pPr>
        <w:widowControl w:val="0"/>
        <w:autoSpaceDE w:val="0"/>
        <w:autoSpaceDN w:val="0"/>
        <w:adjustRightInd w:val="0"/>
        <w:jc w:val="both"/>
        <w:rPr>
          <w:rFonts w:ascii="Century Gothic" w:hAnsi="Century Gothic"/>
          <w:color w:val="000000"/>
          <w:sz w:val="20"/>
          <w:szCs w:val="20"/>
        </w:rPr>
      </w:pPr>
    </w:p>
    <w:p w14:paraId="5C86EBD0"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p w14:paraId="0429EA30" w14:textId="77777777" w:rsidR="00E80CDE" w:rsidRPr="003F0AD3" w:rsidRDefault="00E80CDE" w:rsidP="00F205FA">
      <w:pPr>
        <w:widowControl w:val="0"/>
        <w:autoSpaceDE w:val="0"/>
        <w:autoSpaceDN w:val="0"/>
        <w:adjustRightInd w:val="0"/>
        <w:jc w:val="both"/>
        <w:rPr>
          <w:rFonts w:ascii="Century Gothic" w:hAnsi="Century Gothic"/>
          <w:b/>
          <w:bCs/>
          <w:sz w:val="28"/>
          <w:szCs w:val="28"/>
          <w:shd w:val="clear" w:color="auto" w:fill="FFFFFF"/>
        </w:rPr>
      </w:pPr>
      <w:r w:rsidRPr="003F0AD3">
        <w:rPr>
          <w:rFonts w:ascii="Century Gothic" w:hAnsi="Century Gothic"/>
          <w:b/>
          <w:bCs/>
          <w:sz w:val="28"/>
          <w:szCs w:val="28"/>
        </w:rPr>
        <w:lastRenderedPageBreak/>
        <w:t>Governance and the consumer duty</w:t>
      </w:r>
    </w:p>
    <w:p w14:paraId="5709E2B7"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74472B9" w14:textId="5B86D976" w:rsidR="00E80CDE" w:rsidRPr="003F0AD3" w:rsidRDefault="00E80CDE" w:rsidP="00F205FA">
      <w:pPr>
        <w:widowControl w:val="0"/>
        <w:autoSpaceDE w:val="0"/>
        <w:autoSpaceDN w:val="0"/>
        <w:adjustRightInd w:val="0"/>
        <w:jc w:val="both"/>
        <w:rPr>
          <w:rFonts w:ascii="Century Gothic" w:hAnsi="Century Gothic"/>
          <w:color w:val="000000"/>
          <w:sz w:val="22"/>
          <w:szCs w:val="22"/>
        </w:rPr>
      </w:pPr>
      <w:r w:rsidRPr="003F0AD3">
        <w:rPr>
          <w:rFonts w:ascii="Century Gothic" w:hAnsi="Century Gothic"/>
          <w:sz w:val="22"/>
          <w:szCs w:val="22"/>
        </w:rPr>
        <w:t xml:space="preserve">The questions in this section are based on information in Chapter 9 of the draft FCA non-Handbook guidance in Appendix 2 to </w:t>
      </w:r>
      <w:hyperlink r:id="rId18" w:history="1">
        <w:r w:rsidRPr="003F0AD3">
          <w:rPr>
            <w:rFonts w:ascii="Century Gothic" w:hAnsi="Century Gothic"/>
            <w:i/>
            <w:iCs/>
            <w:color w:val="0E568C"/>
            <w:sz w:val="22"/>
            <w:szCs w:val="22"/>
          </w:rPr>
          <w:t>CP21/36</w:t>
        </w:r>
      </w:hyperlink>
      <w:r w:rsidRPr="003F0AD3">
        <w:rPr>
          <w:rFonts w:ascii="Century Gothic" w:hAnsi="Century Gothic"/>
          <w:color w:val="000000"/>
          <w:sz w:val="22"/>
          <w:szCs w:val="22"/>
        </w:rPr>
        <w:t>. </w:t>
      </w:r>
    </w:p>
    <w:p w14:paraId="57F202D0" w14:textId="77777777" w:rsidR="00E80CDE" w:rsidRPr="003F0AD3" w:rsidRDefault="00E80CDE" w:rsidP="00F205FA">
      <w:pPr>
        <w:widowControl w:val="0"/>
        <w:autoSpaceDE w:val="0"/>
        <w:autoSpaceDN w:val="0"/>
        <w:adjustRightInd w:val="0"/>
        <w:jc w:val="both"/>
        <w:rPr>
          <w:rFonts w:ascii="Century Gothic" w:hAnsi="Century Gothic"/>
          <w:sz w:val="22"/>
          <w:szCs w:val="22"/>
        </w:rPr>
      </w:pPr>
    </w:p>
    <w:p w14:paraId="7A62DD12" w14:textId="77777777" w:rsidR="00E80CDE" w:rsidRPr="003F0AD3" w:rsidRDefault="00E80CDE" w:rsidP="00F205FA">
      <w:pPr>
        <w:widowControl w:val="0"/>
        <w:autoSpaceDE w:val="0"/>
        <w:autoSpaceDN w:val="0"/>
        <w:adjustRightInd w:val="0"/>
        <w:jc w:val="both"/>
        <w:rPr>
          <w:rFonts w:ascii="Century Gothic" w:hAnsi="Century Gothic"/>
          <w:sz w:val="22"/>
          <w:szCs w:val="22"/>
          <w:shd w:val="clear" w:color="auto" w:fill="FFFFFF"/>
        </w:rPr>
      </w:pPr>
      <w:r w:rsidRPr="003F0AD3">
        <w:rPr>
          <w:rFonts w:ascii="Century Gothic" w:hAnsi="Century Gothic"/>
          <w:sz w:val="22"/>
          <w:szCs w:val="22"/>
        </w:rPr>
        <w:t>Annual report on firms’ compliance with consumer duty</w:t>
      </w:r>
      <w:r w:rsidRPr="003F0AD3">
        <w:rPr>
          <w:rFonts w:ascii="Century Gothic" w:hAnsi="Century Gothic"/>
          <w:sz w:val="22"/>
          <w:szCs w:val="22"/>
          <w:shd w:val="clear" w:color="auto" w:fill="FFFFFF"/>
        </w:rPr>
        <w:t xml:space="preserve"> (</w:t>
      </w:r>
      <w:r w:rsidRPr="003F0AD3">
        <w:rPr>
          <w:rFonts w:ascii="Century Gothic" w:hAnsi="Century Gothic"/>
          <w:sz w:val="22"/>
          <w:szCs w:val="22"/>
        </w:rPr>
        <w:t>This section applies once the consumer duty is in force.)</w:t>
      </w:r>
    </w:p>
    <w:p w14:paraId="3DC7F0E1" w14:textId="77777777" w:rsidR="00E80CDE" w:rsidRPr="003F0AD3" w:rsidRDefault="00E80CDE" w:rsidP="00F205FA">
      <w:pPr>
        <w:widowControl w:val="0"/>
        <w:autoSpaceDE w:val="0"/>
        <w:autoSpaceDN w:val="0"/>
        <w:adjustRightInd w:val="0"/>
        <w:jc w:val="both"/>
        <w:rPr>
          <w:rFonts w:ascii="Century Gothic" w:hAnsi="Century Gothic"/>
          <w:color w:val="000000"/>
          <w:sz w:val="22"/>
          <w:szCs w:val="22"/>
        </w:rPr>
      </w:pPr>
    </w:p>
    <w:tbl>
      <w:tblPr>
        <w:tblStyle w:val="TableGrid"/>
        <w:tblW w:w="5000" w:type="pct"/>
        <w:tblLook w:val="04A0" w:firstRow="1" w:lastRow="0" w:firstColumn="1" w:lastColumn="0" w:noHBand="0" w:noVBand="1"/>
      </w:tblPr>
      <w:tblGrid>
        <w:gridCol w:w="421"/>
        <w:gridCol w:w="2928"/>
        <w:gridCol w:w="3735"/>
        <w:gridCol w:w="3543"/>
        <w:gridCol w:w="1558"/>
        <w:gridCol w:w="1485"/>
      </w:tblGrid>
      <w:tr w:rsidR="008071B5" w:rsidRPr="003F0AD3" w14:paraId="50D95535" w14:textId="21BFDFBD" w:rsidTr="008071B5">
        <w:tc>
          <w:tcPr>
            <w:tcW w:w="154" w:type="pct"/>
            <w:shd w:val="clear" w:color="auto" w:fill="009193"/>
          </w:tcPr>
          <w:p w14:paraId="3A70AC9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0F9A40A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2BAEFCB1"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7320EAB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7D6ABF41" w14:textId="05F449A3"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8F714C0" w14:textId="07B9AF83"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6CB1EC31" w14:textId="19E3E158" w:rsidTr="00A71C53">
        <w:tc>
          <w:tcPr>
            <w:tcW w:w="154" w:type="pct"/>
          </w:tcPr>
          <w:p w14:paraId="3CA6AD4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152E452"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a process in place whereby its board, or equivalent governing body, will review and approve an assessment of whether the firm is delivering good outcomes for its customers that are consistent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at least annually?</w:t>
            </w:r>
          </w:p>
        </w:tc>
        <w:tc>
          <w:tcPr>
            <w:tcW w:w="1366" w:type="pct"/>
          </w:tcPr>
          <w:p w14:paraId="440E01F8" w14:textId="19E4350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w:t>
            </w:r>
          </w:p>
        </w:tc>
        <w:tc>
          <w:tcPr>
            <w:tcW w:w="1296" w:type="pct"/>
            <w:shd w:val="clear" w:color="auto" w:fill="00B0F0"/>
          </w:tcPr>
          <w:p w14:paraId="686E5B50" w14:textId="288B92CF"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 xml:space="preserve">We will put this in place at management level (compliance monitoring plan) </w:t>
            </w:r>
            <w:proofErr w:type="gramStart"/>
            <w:r w:rsidR="00A84EC5">
              <w:rPr>
                <w:rFonts w:ascii="Century Gothic" w:hAnsi="Century Gothic"/>
                <w:color w:val="000000"/>
                <w:sz w:val="20"/>
                <w:szCs w:val="20"/>
              </w:rPr>
              <w:t>and also</w:t>
            </w:r>
            <w:proofErr w:type="gramEnd"/>
            <w:r w:rsidR="00A84EC5">
              <w:rPr>
                <w:rFonts w:ascii="Century Gothic" w:hAnsi="Century Gothic"/>
                <w:color w:val="000000"/>
                <w:sz w:val="20"/>
                <w:szCs w:val="20"/>
              </w:rPr>
              <w:t xml:space="preserve"> at executive (governing body) level</w:t>
            </w:r>
          </w:p>
        </w:tc>
        <w:tc>
          <w:tcPr>
            <w:tcW w:w="570" w:type="pct"/>
            <w:shd w:val="clear" w:color="auto" w:fill="auto"/>
            <w:vAlign w:val="center"/>
          </w:tcPr>
          <w:p w14:paraId="18A3A274" w14:textId="6DF95B08" w:rsidR="00A84EC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auto"/>
          </w:tcPr>
          <w:p w14:paraId="5648AD6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56C3D09E" w14:textId="3D3150B7" w:rsidTr="00A71C53">
        <w:tc>
          <w:tcPr>
            <w:tcW w:w="154" w:type="pct"/>
          </w:tcPr>
          <w:p w14:paraId="00BF15B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3DB1593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assessment include the following:</w:t>
            </w:r>
          </w:p>
        </w:tc>
        <w:tc>
          <w:tcPr>
            <w:tcW w:w="1366" w:type="pct"/>
            <w:shd w:val="clear" w:color="auto" w:fill="BFBFBF" w:themeFill="background1" w:themeFillShade="BF"/>
          </w:tcPr>
          <w:p w14:paraId="57B841E3"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52C47B87"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580185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27F23F78"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F6B354" w14:textId="1379A0E9" w:rsidTr="00A71C53">
        <w:tc>
          <w:tcPr>
            <w:tcW w:w="154" w:type="pct"/>
          </w:tcPr>
          <w:p w14:paraId="312730CA" w14:textId="77777777" w:rsidR="00A84EC5" w:rsidRPr="00F800B9" w:rsidRDefault="00A84EC5" w:rsidP="00F800B9">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478784BB"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results of the monitoring that the firm has undertaken to assess whether its products/services are delivering expected outcomes in line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34FBE17C" w14:textId="0F32D3D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will do</w:t>
            </w:r>
          </w:p>
        </w:tc>
        <w:tc>
          <w:tcPr>
            <w:tcW w:w="1296" w:type="pct"/>
            <w:shd w:val="clear" w:color="auto" w:fill="00B0F0"/>
          </w:tcPr>
          <w:p w14:paraId="3E062CEF" w14:textId="47163A0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Will be implemented</w:t>
            </w:r>
          </w:p>
        </w:tc>
        <w:tc>
          <w:tcPr>
            <w:tcW w:w="570" w:type="pct"/>
            <w:shd w:val="clear" w:color="auto" w:fill="auto"/>
            <w:vAlign w:val="center"/>
          </w:tcPr>
          <w:p w14:paraId="657972A3" w14:textId="07574DE2" w:rsidR="00A84EC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auto"/>
          </w:tcPr>
          <w:p w14:paraId="3C1EB49B"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71C53" w:rsidRPr="00F205FA" w14:paraId="2A274394" w14:textId="01036D5D" w:rsidTr="00A71C53">
        <w:tc>
          <w:tcPr>
            <w:tcW w:w="154" w:type="pct"/>
          </w:tcPr>
          <w:p w14:paraId="4C4A6393"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5CDAD1DF"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new and emerging risks to good outcomes </w:t>
            </w:r>
            <w:r w:rsidRPr="00F205FA">
              <w:rPr>
                <w:rFonts w:ascii="Century Gothic" w:hAnsi="Century Gothic"/>
                <w:color w:val="000000"/>
                <w:sz w:val="20"/>
                <w:szCs w:val="20"/>
              </w:rPr>
              <w:lastRenderedPageBreak/>
              <w:t xml:space="preserve">for </w:t>
            </w:r>
            <w:r w:rsidRPr="00F205FA">
              <w:rPr>
                <w:rFonts w:ascii="Century Gothic" w:hAnsi="Century Gothic"/>
                <w:color w:val="252525"/>
                <w:sz w:val="20"/>
                <w:szCs w:val="20"/>
              </w:rPr>
              <w:t>consumers</w:t>
            </w:r>
            <w:r w:rsidRPr="00F205FA">
              <w:rPr>
                <w:rFonts w:ascii="Century Gothic" w:hAnsi="Century Gothic"/>
                <w:color w:val="000000"/>
                <w:sz w:val="20"/>
                <w:szCs w:val="20"/>
              </w:rPr>
              <w:t>;</w:t>
            </w:r>
          </w:p>
        </w:tc>
        <w:tc>
          <w:tcPr>
            <w:tcW w:w="1366" w:type="pct"/>
          </w:tcPr>
          <w:p w14:paraId="51B23F30" w14:textId="7BE251AB"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This will happen organically </w:t>
            </w:r>
            <w:proofErr w:type="gramStart"/>
            <w:r>
              <w:rPr>
                <w:rFonts w:ascii="Century Gothic" w:hAnsi="Century Gothic"/>
                <w:color w:val="000000"/>
                <w:sz w:val="20"/>
                <w:szCs w:val="20"/>
              </w:rPr>
              <w:t>as a result of</w:t>
            </w:r>
            <w:proofErr w:type="gramEnd"/>
            <w:r>
              <w:rPr>
                <w:rFonts w:ascii="Century Gothic" w:hAnsi="Century Gothic"/>
                <w:color w:val="000000"/>
                <w:sz w:val="20"/>
                <w:szCs w:val="20"/>
              </w:rPr>
              <w:t xml:space="preserve"> 66a.</w:t>
            </w:r>
          </w:p>
        </w:tc>
        <w:tc>
          <w:tcPr>
            <w:tcW w:w="1296" w:type="pct"/>
            <w:shd w:val="clear" w:color="auto" w:fill="00B0F0"/>
          </w:tcPr>
          <w:p w14:paraId="3E2EF2D9"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64D60A2D" w14:textId="41236D6A"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7B872E19"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71C53" w:rsidRPr="00F205FA" w14:paraId="12D6C6AE" w14:textId="0C006075" w:rsidTr="00A71C53">
        <w:tc>
          <w:tcPr>
            <w:tcW w:w="154" w:type="pct"/>
          </w:tcPr>
          <w:p w14:paraId="3F5848F3"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38F3775B"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any evidence of poor outcomes and an evaluation of the impact and the root cause?</w:t>
            </w:r>
          </w:p>
        </w:tc>
        <w:tc>
          <w:tcPr>
            <w:tcW w:w="1366" w:type="pct"/>
          </w:tcPr>
          <w:p w14:paraId="6F36B92B" w14:textId="726DCB84"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for b above</w:t>
            </w:r>
          </w:p>
        </w:tc>
        <w:tc>
          <w:tcPr>
            <w:tcW w:w="1296" w:type="pct"/>
            <w:shd w:val="clear" w:color="auto" w:fill="00B0F0"/>
          </w:tcPr>
          <w:p w14:paraId="216AA208"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0548660A" w14:textId="54A59808"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058132C3"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71C53" w:rsidRPr="00F205FA" w14:paraId="699DFBDF" w14:textId="4885168A" w:rsidTr="00A71C53">
        <w:tc>
          <w:tcPr>
            <w:tcW w:w="154" w:type="pct"/>
          </w:tcPr>
          <w:p w14:paraId="5490B669"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4EB2B2A2"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actions taken to address any risks or issues; and</w:t>
            </w:r>
          </w:p>
        </w:tc>
        <w:tc>
          <w:tcPr>
            <w:tcW w:w="1366" w:type="pct"/>
          </w:tcPr>
          <w:p w14:paraId="387BDE8C" w14:textId="736924DE"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for b above</w:t>
            </w:r>
          </w:p>
        </w:tc>
        <w:tc>
          <w:tcPr>
            <w:tcW w:w="1296" w:type="pct"/>
            <w:shd w:val="clear" w:color="auto" w:fill="00B0F0"/>
          </w:tcPr>
          <w:p w14:paraId="031577B5"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3D4AFF57" w14:textId="261F8FDA"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34BE92B6"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71C53" w:rsidRPr="00F205FA" w14:paraId="7BCC0CA5" w14:textId="0E0F1D26" w:rsidTr="00A71C53">
        <w:tc>
          <w:tcPr>
            <w:tcW w:w="154" w:type="pct"/>
          </w:tcPr>
          <w:p w14:paraId="6CD47ECA"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2F1107FD" w14:textId="77777777" w:rsidR="00A71C53" w:rsidRPr="00F205FA" w:rsidRDefault="00A71C53" w:rsidP="00A71C53">
            <w:pPr>
              <w:widowControl w:val="0"/>
              <w:autoSpaceDE w:val="0"/>
              <w:autoSpaceDN w:val="0"/>
              <w:adjustRightInd w:val="0"/>
              <w:ind w:left="960"/>
              <w:jc w:val="both"/>
              <w:rPr>
                <w:rFonts w:ascii="Century Gothic" w:hAnsi="Century Gothic"/>
                <w:color w:val="252525"/>
                <w:sz w:val="20"/>
                <w:szCs w:val="20"/>
                <w:shd w:val="clear" w:color="auto" w:fill="FFFF66"/>
              </w:rPr>
            </w:pPr>
            <w:r w:rsidRPr="00F205FA">
              <w:rPr>
                <w:rFonts w:ascii="Century Gothic" w:hAnsi="Century Gothic"/>
                <w:color w:val="000000"/>
                <w:sz w:val="20"/>
                <w:szCs w:val="20"/>
              </w:rPr>
              <w:t xml:space="preserve">an explanation of how the firm’s future business strategy is consistent with acting to deliver good outcomes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proofErr w:type="gramStart"/>
            <w:r w:rsidRPr="00F205FA">
              <w:rPr>
                <w:rFonts w:ascii="Century Gothic" w:hAnsi="Century Gothic"/>
                <w:color w:val="252525"/>
                <w:sz w:val="20"/>
                <w:szCs w:val="20"/>
              </w:rPr>
              <w:t>duty?</w:t>
            </w:r>
            <w:proofErr w:type="gramEnd"/>
          </w:p>
          <w:p w14:paraId="3B6C5172" w14:textId="77777777" w:rsidR="00A71C53" w:rsidRPr="00F205FA" w:rsidRDefault="00A71C53" w:rsidP="00A71C53">
            <w:pPr>
              <w:widowControl w:val="0"/>
              <w:autoSpaceDE w:val="0"/>
              <w:autoSpaceDN w:val="0"/>
              <w:adjustRightInd w:val="0"/>
              <w:ind w:left="960"/>
              <w:jc w:val="both"/>
              <w:rPr>
                <w:rFonts w:ascii="Century Gothic" w:hAnsi="Century Gothic"/>
                <w:color w:val="000000"/>
                <w:sz w:val="20"/>
                <w:szCs w:val="20"/>
                <w:shd w:val="clear" w:color="auto" w:fill="FFFFFF"/>
              </w:rPr>
            </w:pPr>
          </w:p>
        </w:tc>
        <w:tc>
          <w:tcPr>
            <w:tcW w:w="1366" w:type="pct"/>
          </w:tcPr>
          <w:p w14:paraId="457D68C4" w14:textId="5749FC5F"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for b above</w:t>
            </w:r>
          </w:p>
        </w:tc>
        <w:tc>
          <w:tcPr>
            <w:tcW w:w="1296" w:type="pct"/>
            <w:shd w:val="clear" w:color="auto" w:fill="00B0F0"/>
          </w:tcPr>
          <w:p w14:paraId="772905AF"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07F850A3" w14:textId="2517EC54"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74DDE3CA"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84EC5" w:rsidRPr="00F205FA" w14:paraId="40B6EC19" w14:textId="7F78A3EE" w:rsidTr="00A71C53">
        <w:tc>
          <w:tcPr>
            <w:tcW w:w="154" w:type="pct"/>
          </w:tcPr>
          <w:p w14:paraId="5E0E22B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shd w:val="clear" w:color="auto" w:fill="auto"/>
          </w:tcPr>
          <w:p w14:paraId="5F57457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Outside of the annual report on firms’ compliance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is the firm’s board/governing body regularly reviewing MI relating to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Are non-executive directors involved in reviewing the MI? As appropriate, is MI challenged?</w:t>
            </w:r>
          </w:p>
        </w:tc>
        <w:tc>
          <w:tcPr>
            <w:tcW w:w="1366" w:type="pct"/>
          </w:tcPr>
          <w:p w14:paraId="32109E6E" w14:textId="366ECCB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 but it will do</w:t>
            </w:r>
          </w:p>
        </w:tc>
        <w:tc>
          <w:tcPr>
            <w:tcW w:w="1296" w:type="pct"/>
            <w:shd w:val="clear" w:color="auto" w:fill="00B0F0"/>
          </w:tcPr>
          <w:p w14:paraId="429A9E47" w14:textId="79A97E0C" w:rsidR="00A84EC5"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See item 65</w:t>
            </w:r>
          </w:p>
        </w:tc>
        <w:tc>
          <w:tcPr>
            <w:tcW w:w="570" w:type="pct"/>
            <w:shd w:val="clear" w:color="auto" w:fill="auto"/>
            <w:vAlign w:val="center"/>
          </w:tcPr>
          <w:p w14:paraId="3EAA3C24" w14:textId="57DF0516" w:rsidR="00A84EC5" w:rsidRPr="00F205FA"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auto"/>
          </w:tcPr>
          <w:p w14:paraId="5235E2DC"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bl>
    <w:p w14:paraId="384F3EB2" w14:textId="3DC62103" w:rsidR="008071B5" w:rsidRDefault="008071B5" w:rsidP="0042287A">
      <w:pPr>
        <w:widowControl w:val="0"/>
        <w:autoSpaceDE w:val="0"/>
        <w:autoSpaceDN w:val="0"/>
        <w:adjustRightInd w:val="0"/>
        <w:jc w:val="both"/>
        <w:rPr>
          <w:rFonts w:ascii="Century Gothic" w:hAnsi="Century Gothic"/>
          <w:color w:val="000000"/>
          <w:sz w:val="20"/>
          <w:szCs w:val="20"/>
        </w:rPr>
      </w:pPr>
    </w:p>
    <w:p w14:paraId="64A0C815" w14:textId="77777777" w:rsidR="00F17736" w:rsidRDefault="00F17736" w:rsidP="0042287A">
      <w:pPr>
        <w:widowControl w:val="0"/>
        <w:autoSpaceDE w:val="0"/>
        <w:autoSpaceDN w:val="0"/>
        <w:adjustRightInd w:val="0"/>
        <w:jc w:val="both"/>
        <w:rPr>
          <w:rFonts w:ascii="Century Gothic" w:hAnsi="Century Gothic"/>
          <w:color w:val="000000"/>
          <w:sz w:val="20"/>
          <w:szCs w:val="20"/>
        </w:rPr>
      </w:pPr>
    </w:p>
    <w:p w14:paraId="0FAF033D" w14:textId="77777777" w:rsidR="00F17736" w:rsidRDefault="00F17736" w:rsidP="0042287A">
      <w:pPr>
        <w:widowControl w:val="0"/>
        <w:autoSpaceDE w:val="0"/>
        <w:autoSpaceDN w:val="0"/>
        <w:adjustRightInd w:val="0"/>
        <w:jc w:val="both"/>
        <w:rPr>
          <w:rFonts w:ascii="Century Gothic" w:hAnsi="Century Gothic"/>
          <w:color w:val="000000"/>
          <w:sz w:val="20"/>
          <w:szCs w:val="20"/>
        </w:rPr>
      </w:pPr>
    </w:p>
    <w:p w14:paraId="786E62C9" w14:textId="77777777" w:rsidR="00F17736" w:rsidRDefault="00F17736" w:rsidP="0042287A">
      <w:pPr>
        <w:widowControl w:val="0"/>
        <w:autoSpaceDE w:val="0"/>
        <w:autoSpaceDN w:val="0"/>
        <w:adjustRightInd w:val="0"/>
        <w:jc w:val="both"/>
        <w:rPr>
          <w:rFonts w:ascii="Century Gothic" w:hAnsi="Century Gothic"/>
          <w:color w:val="000000"/>
          <w:sz w:val="20"/>
          <w:szCs w:val="20"/>
        </w:rPr>
      </w:pPr>
    </w:p>
    <w:p w14:paraId="5D09341C" w14:textId="77777777" w:rsidR="008071B5" w:rsidRPr="00F205FA" w:rsidRDefault="008071B5" w:rsidP="00F205FA">
      <w:pPr>
        <w:widowControl w:val="0"/>
        <w:autoSpaceDE w:val="0"/>
        <w:autoSpaceDN w:val="0"/>
        <w:adjustRightInd w:val="0"/>
        <w:jc w:val="both"/>
        <w:rPr>
          <w:rFonts w:ascii="Century Gothic" w:hAnsi="Century Gothic"/>
          <w:color w:val="0E568C"/>
          <w:sz w:val="20"/>
          <w:szCs w:val="20"/>
        </w:rPr>
      </w:pPr>
    </w:p>
    <w:p w14:paraId="6D7964A6" w14:textId="77777777" w:rsidR="00E80CDE" w:rsidRPr="003F0AD3" w:rsidRDefault="00E80CDE" w:rsidP="00F205FA">
      <w:pPr>
        <w:widowControl w:val="0"/>
        <w:autoSpaceDE w:val="0"/>
        <w:autoSpaceDN w:val="0"/>
        <w:adjustRightInd w:val="0"/>
        <w:jc w:val="both"/>
        <w:rPr>
          <w:rFonts w:ascii="Century Gothic" w:hAnsi="Century Gothic"/>
          <w:b/>
          <w:bCs/>
        </w:rPr>
      </w:pPr>
      <w:r w:rsidRPr="003F0AD3">
        <w:rPr>
          <w:rFonts w:ascii="Century Gothic" w:hAnsi="Century Gothic"/>
          <w:b/>
          <w:bCs/>
        </w:rPr>
        <w:lastRenderedPageBreak/>
        <w:t>Interaction between consumer duty and SM&amp;CR</w:t>
      </w:r>
    </w:p>
    <w:p w14:paraId="65173268" w14:textId="1E80990D" w:rsidR="00E80CDE"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67C37C0" w14:textId="77777777" w:rsidR="003F0AD3" w:rsidRPr="00F205FA" w:rsidRDefault="003F0AD3" w:rsidP="00F205FA">
      <w:pPr>
        <w:widowControl w:val="0"/>
        <w:autoSpaceDE w:val="0"/>
        <w:autoSpaceDN w:val="0"/>
        <w:adjustRightInd w:val="0"/>
        <w:jc w:val="both"/>
        <w:rPr>
          <w:rFonts w:ascii="Century Gothic" w:hAnsi="Century Gothic"/>
          <w:sz w:val="22"/>
          <w:szCs w:val="22"/>
        </w:rPr>
      </w:pPr>
    </w:p>
    <w:p w14:paraId="45F5B498"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This section relates to the senior managers and certification regime (SM&amp;CR), which is the individual accountability regime that applies to authorised firms.</w:t>
      </w:r>
    </w:p>
    <w:p w14:paraId="7E1E0BDF"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5000" w:type="pct"/>
        <w:tblLook w:val="04A0" w:firstRow="1" w:lastRow="0" w:firstColumn="1" w:lastColumn="0" w:noHBand="0" w:noVBand="1"/>
      </w:tblPr>
      <w:tblGrid>
        <w:gridCol w:w="421"/>
        <w:gridCol w:w="2928"/>
        <w:gridCol w:w="3735"/>
        <w:gridCol w:w="3685"/>
        <w:gridCol w:w="1416"/>
        <w:gridCol w:w="1485"/>
      </w:tblGrid>
      <w:tr w:rsidR="008071B5" w:rsidRPr="00F205FA" w14:paraId="29B5C095" w14:textId="4644998F" w:rsidTr="008071B5">
        <w:tc>
          <w:tcPr>
            <w:tcW w:w="154" w:type="pct"/>
            <w:shd w:val="clear" w:color="auto" w:fill="009193"/>
          </w:tcPr>
          <w:p w14:paraId="61BA765A"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495B3CC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4C376F3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05B2716B"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18" w:type="pct"/>
            <w:shd w:val="clear" w:color="auto" w:fill="009193"/>
          </w:tcPr>
          <w:p w14:paraId="5E9AD7F5" w14:textId="7A41E2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0C3E435" w14:textId="4C99E744"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8071B5" w:rsidRPr="00F205FA" w14:paraId="57462458" w14:textId="06169641" w:rsidTr="00A71C53">
        <w:tc>
          <w:tcPr>
            <w:tcW w:w="154" w:type="pct"/>
          </w:tcPr>
          <w:p w14:paraId="3CA9DC23"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B6EF38B"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Are senior managers aware of what their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be?</w:t>
            </w:r>
          </w:p>
        </w:tc>
        <w:tc>
          <w:tcPr>
            <w:tcW w:w="1366" w:type="pct"/>
          </w:tcPr>
          <w:p w14:paraId="4A820A9D" w14:textId="1FC6E3CD"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in effect they won’t change. Our senior managers are aware of their Duty of Care, and of their TCF responsibilities. These are reflected in their historic behaviours and conduct</w:t>
            </w:r>
          </w:p>
        </w:tc>
        <w:tc>
          <w:tcPr>
            <w:tcW w:w="1348" w:type="pct"/>
            <w:shd w:val="clear" w:color="auto" w:fill="D883FF"/>
          </w:tcPr>
          <w:p w14:paraId="60BE5A9D" w14:textId="77777777" w:rsidR="008071B5"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 however, our senior managers will conduct CPD annually to keep up to date with current best practice. Statements of Responsibility will be updated to reflect each SM’s corporate responsibility with consumer duty.</w:t>
            </w:r>
          </w:p>
          <w:p w14:paraId="3B49652F"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119EF4A8" w14:textId="77777777" w:rsidR="00A71C53"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further action </w:t>
            </w:r>
            <w:proofErr w:type="gramStart"/>
            <w:r>
              <w:rPr>
                <w:rFonts w:ascii="Century Gothic" w:hAnsi="Century Gothic"/>
                <w:color w:val="000000"/>
                <w:sz w:val="20"/>
                <w:szCs w:val="20"/>
              </w:rPr>
              <w:t>required</w:t>
            </w:r>
            <w:proofErr w:type="gramEnd"/>
          </w:p>
          <w:p w14:paraId="79DE112F" w14:textId="4FDAA2A8" w:rsidR="00A71C53" w:rsidRPr="00F205FA" w:rsidRDefault="00A71C53" w:rsidP="00F205FA">
            <w:pPr>
              <w:widowControl w:val="0"/>
              <w:autoSpaceDE w:val="0"/>
              <w:autoSpaceDN w:val="0"/>
              <w:adjustRightInd w:val="0"/>
              <w:jc w:val="both"/>
              <w:rPr>
                <w:rFonts w:ascii="Century Gothic" w:hAnsi="Century Gothic"/>
                <w:color w:val="000000"/>
                <w:sz w:val="20"/>
                <w:szCs w:val="20"/>
              </w:rPr>
            </w:pPr>
          </w:p>
        </w:tc>
        <w:tc>
          <w:tcPr>
            <w:tcW w:w="518" w:type="pct"/>
            <w:shd w:val="clear" w:color="auto" w:fill="D883FF"/>
          </w:tcPr>
          <w:p w14:paraId="5D76DA1E"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B8EFCA7"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4E5664DC" w14:textId="277F5F9F" w:rsidTr="00A71C53">
        <w:tc>
          <w:tcPr>
            <w:tcW w:w="154" w:type="pct"/>
          </w:tcPr>
          <w:p w14:paraId="38ED2FF1"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7E550092"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In line with the above, will senior managers’ statements of responsibilities need updating?</w:t>
            </w:r>
          </w:p>
        </w:tc>
        <w:tc>
          <w:tcPr>
            <w:tcW w:w="1366" w:type="pct"/>
          </w:tcPr>
          <w:p w14:paraId="1E03E0F2" w14:textId="486000ED"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 see </w:t>
            </w:r>
            <w:r w:rsidR="00A71C53">
              <w:rPr>
                <w:rFonts w:ascii="Century Gothic" w:hAnsi="Century Gothic"/>
                <w:color w:val="000000"/>
                <w:sz w:val="20"/>
                <w:szCs w:val="20"/>
              </w:rPr>
              <w:t>2</w:t>
            </w:r>
          </w:p>
        </w:tc>
        <w:tc>
          <w:tcPr>
            <w:tcW w:w="1348" w:type="pct"/>
            <w:shd w:val="clear" w:color="auto" w:fill="00B0F0"/>
          </w:tcPr>
          <w:p w14:paraId="15D959CA" w14:textId="65F0B79F"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Done</w:t>
            </w:r>
          </w:p>
        </w:tc>
        <w:tc>
          <w:tcPr>
            <w:tcW w:w="518" w:type="pct"/>
            <w:shd w:val="clear" w:color="auto" w:fill="92D050"/>
            <w:vAlign w:val="center"/>
          </w:tcPr>
          <w:p w14:paraId="4A78C9F4" w14:textId="0F0B32AF"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25/11/23</w:t>
            </w:r>
          </w:p>
        </w:tc>
        <w:tc>
          <w:tcPr>
            <w:tcW w:w="543" w:type="pct"/>
            <w:shd w:val="clear" w:color="auto" w:fill="92D050"/>
            <w:vAlign w:val="center"/>
          </w:tcPr>
          <w:p w14:paraId="5C841F24" w14:textId="1C814D00"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25/11/23</w:t>
            </w:r>
          </w:p>
        </w:tc>
      </w:tr>
      <w:tr w:rsidR="008071B5" w:rsidRPr="00F205FA" w14:paraId="5E99D5F4" w14:textId="53AB93C0" w:rsidTr="00A71C53">
        <w:tc>
          <w:tcPr>
            <w:tcW w:w="154" w:type="pct"/>
          </w:tcPr>
          <w:p w14:paraId="63683AE4"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30A8170B"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Where relevant, will the firms’ management responsibilities map need </w:t>
            </w:r>
            <w:proofErr w:type="gramStart"/>
            <w:r w:rsidRPr="00F205FA">
              <w:rPr>
                <w:rFonts w:ascii="Century Gothic" w:hAnsi="Century Gothic"/>
                <w:color w:val="000000"/>
                <w:sz w:val="20"/>
                <w:szCs w:val="20"/>
              </w:rPr>
              <w:t>updating</w:t>
            </w:r>
            <w:proofErr w:type="gramEnd"/>
            <w:r w:rsidRPr="00F205FA">
              <w:rPr>
                <w:rFonts w:ascii="Century Gothic" w:hAnsi="Century Gothic"/>
                <w:color w:val="000000"/>
                <w:sz w:val="20"/>
                <w:szCs w:val="20"/>
              </w:rPr>
              <w:t>?</w:t>
            </w:r>
          </w:p>
        </w:tc>
        <w:tc>
          <w:tcPr>
            <w:tcW w:w="1366" w:type="pct"/>
          </w:tcPr>
          <w:p w14:paraId="3B88CF26" w14:textId="1A08ED7F"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N/A</w:t>
            </w:r>
          </w:p>
        </w:tc>
        <w:tc>
          <w:tcPr>
            <w:tcW w:w="1348" w:type="pct"/>
            <w:shd w:val="clear" w:color="auto" w:fill="D883FF"/>
          </w:tcPr>
          <w:p w14:paraId="0A7FA998" w14:textId="3A0F0ACA"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18" w:type="pct"/>
            <w:shd w:val="clear" w:color="auto" w:fill="D883FF"/>
          </w:tcPr>
          <w:p w14:paraId="6E03D39D"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8500743"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6B24CB07" w14:textId="31337F5D" w:rsidTr="00A71C53">
        <w:tc>
          <w:tcPr>
            <w:tcW w:w="154" w:type="pct"/>
          </w:tcPr>
          <w:p w14:paraId="4EB1D226"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6D7D3D9"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Is conduct rules training, along with any other training, being updated to reflect any changes implementing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bring about?</w:t>
            </w:r>
          </w:p>
        </w:tc>
        <w:tc>
          <w:tcPr>
            <w:tcW w:w="1366" w:type="pct"/>
          </w:tcPr>
          <w:p w14:paraId="70E6EFB7" w14:textId="58750AA7"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348" w:type="pct"/>
            <w:shd w:val="clear" w:color="auto" w:fill="00B0F0"/>
          </w:tcPr>
          <w:p w14:paraId="595A4FDB" w14:textId="77777777" w:rsidR="008071B5"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xml:space="preserve">: </w:t>
            </w:r>
            <w:r w:rsidR="008071B5">
              <w:rPr>
                <w:rFonts w:ascii="Century Gothic" w:hAnsi="Century Gothic"/>
                <w:color w:val="000000"/>
                <w:sz w:val="20"/>
                <w:szCs w:val="20"/>
              </w:rPr>
              <w:t>It will be done and rolled out as required CPD</w:t>
            </w:r>
          </w:p>
          <w:p w14:paraId="0018A30A"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66872F0C" w14:textId="024890E6" w:rsidR="00A71C53"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w:t>
            </w:r>
            <w:r>
              <w:rPr>
                <w:rFonts w:ascii="Century Gothic" w:hAnsi="Century Gothic"/>
                <w:color w:val="000000"/>
                <w:sz w:val="20"/>
                <w:szCs w:val="20"/>
              </w:rPr>
              <w:t>: is now part of the CPD programme for 2023</w:t>
            </w:r>
          </w:p>
        </w:tc>
        <w:tc>
          <w:tcPr>
            <w:tcW w:w="518" w:type="pct"/>
            <w:shd w:val="clear" w:color="auto" w:fill="92D050"/>
            <w:vAlign w:val="center"/>
          </w:tcPr>
          <w:p w14:paraId="7F97E0AB" w14:textId="0C972B3B"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28/02/23</w:t>
            </w:r>
          </w:p>
        </w:tc>
        <w:tc>
          <w:tcPr>
            <w:tcW w:w="543" w:type="pct"/>
            <w:shd w:val="clear" w:color="auto" w:fill="92D050"/>
            <w:vAlign w:val="center"/>
          </w:tcPr>
          <w:p w14:paraId="1FA9ED87" w14:textId="7959C54D"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22/02/23</w:t>
            </w:r>
          </w:p>
        </w:tc>
      </w:tr>
    </w:tbl>
    <w:p w14:paraId="7D8DCC6B" w14:textId="77777777" w:rsidR="00E80CDE" w:rsidRPr="00CC4ABB" w:rsidRDefault="00E80CDE" w:rsidP="00CC4ABB">
      <w:pPr>
        <w:pStyle w:val="ListParagraph"/>
        <w:widowControl w:val="0"/>
        <w:autoSpaceDE w:val="0"/>
        <w:autoSpaceDN w:val="0"/>
        <w:adjustRightInd w:val="0"/>
        <w:ind w:left="360"/>
        <w:jc w:val="both"/>
        <w:rPr>
          <w:rFonts w:ascii="Century Gothic" w:hAnsi="Century Gothic"/>
          <w:color w:val="000000"/>
          <w:sz w:val="20"/>
          <w:szCs w:val="20"/>
        </w:rPr>
      </w:pPr>
    </w:p>
    <w:p w14:paraId="43E80EE5"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89041EE"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Firms’ policies and manuals</w:t>
      </w:r>
    </w:p>
    <w:p w14:paraId="113E200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tbl>
      <w:tblPr>
        <w:tblStyle w:val="TableGrid"/>
        <w:tblW w:w="5000" w:type="pct"/>
        <w:tblLook w:val="04A0" w:firstRow="1" w:lastRow="0" w:firstColumn="1" w:lastColumn="0" w:noHBand="0" w:noVBand="1"/>
      </w:tblPr>
      <w:tblGrid>
        <w:gridCol w:w="421"/>
        <w:gridCol w:w="2928"/>
        <w:gridCol w:w="3735"/>
        <w:gridCol w:w="3685"/>
        <w:gridCol w:w="1416"/>
        <w:gridCol w:w="1485"/>
      </w:tblGrid>
      <w:tr w:rsidR="008071B5" w:rsidRPr="00F205FA" w14:paraId="54E0E3E1" w14:textId="69B84727" w:rsidTr="008071B5">
        <w:tc>
          <w:tcPr>
            <w:tcW w:w="154" w:type="pct"/>
            <w:shd w:val="clear" w:color="auto" w:fill="009193"/>
          </w:tcPr>
          <w:p w14:paraId="175F7AD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0"/>
                <w:szCs w:val="20"/>
              </w:rPr>
            </w:pPr>
          </w:p>
        </w:tc>
        <w:tc>
          <w:tcPr>
            <w:tcW w:w="1071" w:type="pct"/>
            <w:shd w:val="clear" w:color="auto" w:fill="009193"/>
          </w:tcPr>
          <w:p w14:paraId="44F88331"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0CCDB6A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4AE52C4A"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18" w:type="pct"/>
            <w:shd w:val="clear" w:color="auto" w:fill="009193"/>
          </w:tcPr>
          <w:p w14:paraId="5C10A226" w14:textId="7557382A"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D8E9C2D" w14:textId="2E12A5DC"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8071B5" w:rsidRPr="00F205FA" w14:paraId="1F0FE122" w14:textId="430A5199" w:rsidTr="00A71C53">
        <w:tc>
          <w:tcPr>
            <w:tcW w:w="154" w:type="pct"/>
          </w:tcPr>
          <w:p w14:paraId="52931623"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FC53007"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If the firm has a compliance manual, does this need updating to reflect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7AD06B49" w14:textId="72F9E4A5"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We don’t have a </w:t>
            </w:r>
            <w:proofErr w:type="gramStart"/>
            <w:r>
              <w:rPr>
                <w:rFonts w:ascii="Century Gothic" w:hAnsi="Century Gothic"/>
                <w:color w:val="000000"/>
                <w:sz w:val="20"/>
                <w:szCs w:val="20"/>
              </w:rPr>
              <w:t>manual</w:t>
            </w:r>
            <w:proofErr w:type="gramEnd"/>
            <w:r>
              <w:rPr>
                <w:rFonts w:ascii="Century Gothic" w:hAnsi="Century Gothic"/>
                <w:color w:val="000000"/>
                <w:sz w:val="20"/>
                <w:szCs w:val="20"/>
              </w:rPr>
              <w:t xml:space="preserve"> but we do have relevant procedures</w:t>
            </w:r>
          </w:p>
        </w:tc>
        <w:tc>
          <w:tcPr>
            <w:tcW w:w="1348" w:type="pct"/>
            <w:shd w:val="clear" w:color="auto" w:fill="FF7E79"/>
          </w:tcPr>
          <w:p w14:paraId="28B0BB58" w14:textId="2F43D009"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We will implement a new consumer duty policy / procedure</w:t>
            </w:r>
          </w:p>
        </w:tc>
        <w:tc>
          <w:tcPr>
            <w:tcW w:w="518" w:type="pct"/>
            <w:shd w:val="clear" w:color="auto" w:fill="auto"/>
            <w:vAlign w:val="center"/>
          </w:tcPr>
          <w:p w14:paraId="20F0B3D2" w14:textId="69515E0D"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31/03/23</w:t>
            </w:r>
          </w:p>
        </w:tc>
        <w:tc>
          <w:tcPr>
            <w:tcW w:w="543" w:type="pct"/>
            <w:shd w:val="clear" w:color="auto" w:fill="auto"/>
          </w:tcPr>
          <w:p w14:paraId="7DE93FF5"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2754BA35" w14:textId="784790FD" w:rsidTr="00A71C53">
        <w:tc>
          <w:tcPr>
            <w:tcW w:w="154" w:type="pct"/>
          </w:tcPr>
          <w:p w14:paraId="3F3C97BD"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29604F4"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a vulnerable customer’s policy? If so, does it need updating to reflect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If not, a firm may wish to consider implementing one.</w:t>
            </w:r>
          </w:p>
        </w:tc>
        <w:tc>
          <w:tcPr>
            <w:tcW w:w="1366" w:type="pct"/>
          </w:tcPr>
          <w:p w14:paraId="2048CF92" w14:textId="5DB1AD29"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no.</w:t>
            </w:r>
          </w:p>
        </w:tc>
        <w:tc>
          <w:tcPr>
            <w:tcW w:w="1348" w:type="pct"/>
            <w:shd w:val="clear" w:color="auto" w:fill="D883FF"/>
          </w:tcPr>
          <w:p w14:paraId="244FE018" w14:textId="2ADADD83"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18" w:type="pct"/>
            <w:shd w:val="clear" w:color="auto" w:fill="D883FF"/>
          </w:tcPr>
          <w:p w14:paraId="2AA96D9D"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C9224D5"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bl>
    <w:p w14:paraId="56E18C14" w14:textId="77777777" w:rsidR="002265E1" w:rsidRPr="00F205FA" w:rsidRDefault="002265E1" w:rsidP="00F205FA">
      <w:pPr>
        <w:jc w:val="both"/>
        <w:rPr>
          <w:rFonts w:ascii="Century Gothic" w:hAnsi="Century Gothic"/>
        </w:rPr>
      </w:pPr>
      <w:bookmarkStart w:id="1" w:name="kh_relatedContentOffset_1"/>
      <w:bookmarkEnd w:id="1"/>
    </w:p>
    <w:sectPr w:rsidR="002265E1" w:rsidRPr="00F205FA" w:rsidSect="00FC79B6">
      <w:headerReference w:type="even" r:id="rId19"/>
      <w:headerReference w:type="default" r:id="rId20"/>
      <w:footerReference w:type="even" r:id="rId21"/>
      <w:footerReference w:type="default" r:id="rId22"/>
      <w:headerReference w:type="first" r:id="rId23"/>
      <w:footerReference w:type="first" r:id="rId24"/>
      <w:pgSz w:w="15840" w:h="12240" w:orient="landscape"/>
      <w:pgMar w:top="1080" w:right="1080" w:bottom="108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93C9" w14:textId="77777777" w:rsidR="00FC79B6" w:rsidRDefault="00FC79B6" w:rsidP="00F42A7A">
      <w:r>
        <w:separator/>
      </w:r>
    </w:p>
  </w:endnote>
  <w:endnote w:type="continuationSeparator" w:id="0">
    <w:p w14:paraId="1F3E5C3A" w14:textId="77777777" w:rsidR="00FC79B6" w:rsidRDefault="00FC79B6" w:rsidP="00F4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6745" w14:textId="77777777" w:rsidR="00737781" w:rsidRDefault="0073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5A54" w14:textId="6BFE1BCC" w:rsidR="00D22D5F" w:rsidRPr="008744A3" w:rsidRDefault="00552096" w:rsidP="00D22D5F">
    <w:pPr>
      <w:pStyle w:val="Footer"/>
      <w:ind w:right="360"/>
      <w:rPr>
        <w:rFonts w:ascii="Century Gothic" w:hAnsi="Century Gothic" w:cs="Arial"/>
        <w:sz w:val="16"/>
      </w:rPr>
    </w:pPr>
    <w:r>
      <w:rPr>
        <w:rFonts w:ascii="Century Gothic" w:hAnsi="Century Gothic" w:cs="Arial"/>
        <w:sz w:val="16"/>
      </w:rPr>
      <w:t>Essentials:</w:t>
    </w:r>
  </w:p>
  <w:p w14:paraId="3DD3730E" w14:textId="780859AE" w:rsidR="00D22D5F" w:rsidRPr="00F42A7A" w:rsidRDefault="00D22D5F" w:rsidP="00D22D5F">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73F1C10A" wp14:editId="1C879E7C">
              <wp:simplePos x="0" y="0"/>
              <wp:positionH relativeFrom="column">
                <wp:posOffset>6898005</wp:posOffset>
              </wp:positionH>
              <wp:positionV relativeFrom="paragraph">
                <wp:posOffset>9525</wp:posOffset>
              </wp:positionV>
              <wp:extent cx="1485900" cy="228600"/>
              <wp:effectExtent l="0" t="0" r="0" b="0"/>
              <wp:wrapNone/>
              <wp:docPr id="782945066" name="Text Box 782945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wps:spPr>
                    <wps:txbx>
                      <w:txbxContent>
                        <w:p w14:paraId="3E181B13" w14:textId="45B8CFD4" w:rsidR="00D22D5F" w:rsidRPr="00926EE1" w:rsidRDefault="00D22D5F" w:rsidP="00D22D5F">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3836B4">
                            <w:rPr>
                              <w:rFonts w:ascii="Century Gothic" w:hAnsi="Century Gothic"/>
                              <w:noProof/>
                              <w:color w:val="000000"/>
                              <w:sz w:val="18"/>
                              <w:szCs w:val="18"/>
                              <w:lang w:val="en-US"/>
                            </w:rPr>
                            <w:t>33</w:t>
                          </w:r>
                          <w:r w:rsidRPr="00926EE1">
                            <w:rPr>
                              <w:rFonts w:ascii="Century Gothic" w:hAnsi="Century Gothic"/>
                              <w:noProof/>
                              <w:color w:val="000000"/>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1C10A" id="_x0000_t202" coordsize="21600,21600" o:spt="202" path="m,l,21600r21600,l21600,xe">
              <v:stroke joinstyle="miter"/>
              <v:path gradientshapeok="t" o:connecttype="rect"/>
            </v:shapetype>
            <v:shape id="Text Box 782945066" o:spid="_x0000_s1026" type="#_x0000_t202" style="position:absolute;margin-left:543.15pt;margin-top:.7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" filled="f" stroked="f">
              <v:textbox>
                <w:txbxContent>
                  <w:p w14:paraId="3E181B13" w14:textId="45B8CFD4" w:rsidR="00D22D5F" w:rsidRPr="00926EE1" w:rsidRDefault="00D22D5F" w:rsidP="00D22D5F">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3836B4">
                      <w:rPr>
                        <w:rFonts w:ascii="Century Gothic" w:hAnsi="Century Gothic"/>
                        <w:noProof/>
                        <w:color w:val="000000"/>
                        <w:sz w:val="18"/>
                        <w:szCs w:val="18"/>
                        <w:lang w:val="en-US"/>
                      </w:rPr>
                      <w:t>33</w:t>
                    </w:r>
                    <w:r w:rsidRPr="00926EE1">
                      <w:rPr>
                        <w:rFonts w:ascii="Century Gothic" w:hAnsi="Century Gothic"/>
                        <w:noProof/>
                        <w:color w:val="000000"/>
                        <w:sz w:val="18"/>
                        <w:szCs w:val="18"/>
                        <w:lang w:val="en-US"/>
                      </w:rPr>
                      <w:fldChar w:fldCharType="end"/>
                    </w:r>
                  </w:p>
                </w:txbxContent>
              </v:textbox>
            </v:shape>
          </w:pict>
        </mc:Fallback>
      </mc:AlternateContent>
    </w:r>
    <w:r w:rsidR="00737781">
      <w:rPr>
        <w:rFonts w:ascii="Century Gothic" w:hAnsi="Century Gothic" w:cs="Arial"/>
        <w:sz w:val="16"/>
      </w:rPr>
      <w:t>ESS</w:t>
    </w:r>
    <w:r>
      <w:rPr>
        <w:rFonts w:ascii="Century Gothic" w:hAnsi="Century Gothic" w:cs="Arial"/>
        <w:sz w:val="16"/>
      </w:rPr>
      <w:t xml:space="preserve">161123 Consumer Duty checklist and action plan </w:t>
    </w:r>
  </w:p>
  <w:p w14:paraId="2B2A3DDA" w14:textId="17915936" w:rsidR="00F42A7A" w:rsidRPr="00F42A7A" w:rsidRDefault="00F42A7A" w:rsidP="00F42A7A">
    <w:pPr>
      <w:pStyle w:val="Footer"/>
      <w:ind w:right="360"/>
      <w:rPr>
        <w:rFonts w:ascii="Century Gothic" w:hAnsi="Century Gothic"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C81D" w14:textId="468E7D5B" w:rsidR="00F42A7A" w:rsidRPr="008744A3" w:rsidRDefault="00552096" w:rsidP="00F42A7A">
    <w:pPr>
      <w:pStyle w:val="Footer"/>
      <w:ind w:right="360"/>
      <w:rPr>
        <w:rFonts w:ascii="Century Gothic" w:hAnsi="Century Gothic" w:cs="Arial"/>
        <w:sz w:val="16"/>
      </w:rPr>
    </w:pPr>
    <w:r>
      <w:rPr>
        <w:rFonts w:ascii="Century Gothic" w:hAnsi="Century Gothic" w:cs="Arial"/>
        <w:sz w:val="16"/>
      </w:rPr>
      <w:t>Essentials:</w:t>
    </w:r>
  </w:p>
  <w:p w14:paraId="7D230538" w14:textId="6DD5197B" w:rsidR="00F42A7A" w:rsidRPr="00F42A7A" w:rsidRDefault="00F42A7A" w:rsidP="00F42A7A">
    <w:pPr>
      <w:pStyle w:val="Footer"/>
      <w:ind w:right="360"/>
      <w:rPr>
        <w:rFonts w:ascii="Century Gothic" w:hAnsi="Century Gothic" w:cs="Arial"/>
        <w:sz w:val="16"/>
      </w:rPr>
    </w:pPr>
    <w:bookmarkStart w:id="2" w:name="_Hlk151737387"/>
    <w:bookmarkStart w:id="3" w:name="_Hlk151737388"/>
    <w:r>
      <w:rPr>
        <w:noProof/>
      </w:rPr>
      <mc:AlternateContent>
        <mc:Choice Requires="wps">
          <w:drawing>
            <wp:anchor distT="0" distB="0" distL="114300" distR="114300" simplePos="0" relativeHeight="251659264" behindDoc="0" locked="0" layoutInCell="1" allowOverlap="1" wp14:anchorId="3FCF7F61" wp14:editId="1656773F">
              <wp:simplePos x="0" y="0"/>
              <wp:positionH relativeFrom="column">
                <wp:posOffset>6898005</wp:posOffset>
              </wp:positionH>
              <wp:positionV relativeFrom="paragraph">
                <wp:posOffset>9525</wp:posOffset>
              </wp:positionV>
              <wp:extent cx="14859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wps:spPr>
                    <wps:txbx>
                      <w:txbxContent>
                        <w:p w14:paraId="261B3C48" w14:textId="7EA65C1D" w:rsidR="00F42A7A" w:rsidRPr="00926EE1" w:rsidRDefault="00F42A7A" w:rsidP="00F42A7A">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3836B4">
                            <w:rPr>
                              <w:rFonts w:ascii="Century Gothic" w:hAnsi="Century Gothic"/>
                              <w:noProof/>
                              <w:color w:val="000000"/>
                              <w:sz w:val="18"/>
                              <w:szCs w:val="18"/>
                              <w:lang w:val="en-US"/>
                            </w:rPr>
                            <w:t>33</w:t>
                          </w:r>
                          <w:r w:rsidRPr="00926EE1">
                            <w:rPr>
                              <w:rFonts w:ascii="Century Gothic" w:hAnsi="Century Gothic"/>
                              <w:noProof/>
                              <w:color w:val="000000"/>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F7F61" id="_x0000_t202" coordsize="21600,21600" o:spt="202" path="m,l,21600r21600,l21600,xe">
              <v:stroke joinstyle="miter"/>
              <v:path gradientshapeok="t" o:connecttype="rect"/>
            </v:shapetype>
            <v:shape id="Text Box 9" o:spid="_x0000_s1027" type="#_x0000_t202" style="position:absolute;margin-left:543.15pt;margin-top:.75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" filled="f" stroked="f">
              <v:textbox>
                <w:txbxContent>
                  <w:p w14:paraId="261B3C48" w14:textId="7EA65C1D" w:rsidR="00F42A7A" w:rsidRPr="00926EE1" w:rsidRDefault="00F42A7A" w:rsidP="00F42A7A">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3836B4">
                      <w:rPr>
                        <w:rFonts w:ascii="Century Gothic" w:hAnsi="Century Gothic"/>
                        <w:noProof/>
                        <w:color w:val="000000"/>
                        <w:sz w:val="18"/>
                        <w:szCs w:val="18"/>
                        <w:lang w:val="en-US"/>
                      </w:rPr>
                      <w:t>33</w:t>
                    </w:r>
                    <w:r w:rsidRPr="00926EE1">
                      <w:rPr>
                        <w:rFonts w:ascii="Century Gothic" w:hAnsi="Century Gothic"/>
                        <w:noProof/>
                        <w:color w:val="000000"/>
                        <w:sz w:val="18"/>
                        <w:szCs w:val="18"/>
                        <w:lang w:val="en-US"/>
                      </w:rPr>
                      <w:fldChar w:fldCharType="end"/>
                    </w:r>
                  </w:p>
                </w:txbxContent>
              </v:textbox>
            </v:shape>
          </w:pict>
        </mc:Fallback>
      </mc:AlternateContent>
    </w:r>
    <w:r w:rsidR="00737781">
      <w:rPr>
        <w:rFonts w:ascii="Century Gothic" w:hAnsi="Century Gothic" w:cs="Arial"/>
        <w:sz w:val="16"/>
      </w:rPr>
      <w:t>ESS</w:t>
    </w:r>
    <w:r>
      <w:rPr>
        <w:rFonts w:ascii="Century Gothic" w:hAnsi="Century Gothic" w:cs="Arial"/>
        <w:sz w:val="16"/>
      </w:rPr>
      <w:t>16</w:t>
    </w:r>
    <w:r w:rsidR="00D22D5F">
      <w:rPr>
        <w:rFonts w:ascii="Century Gothic" w:hAnsi="Century Gothic" w:cs="Arial"/>
        <w:sz w:val="16"/>
      </w:rPr>
      <w:t>1123</w:t>
    </w:r>
    <w:r>
      <w:rPr>
        <w:rFonts w:ascii="Century Gothic" w:hAnsi="Century Gothic" w:cs="Arial"/>
        <w:sz w:val="16"/>
      </w:rPr>
      <w:t xml:space="preserve"> Consumer Duty checklist and action plan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2C62" w14:textId="77777777" w:rsidR="00FC79B6" w:rsidRDefault="00FC79B6" w:rsidP="00F42A7A">
      <w:r>
        <w:separator/>
      </w:r>
    </w:p>
  </w:footnote>
  <w:footnote w:type="continuationSeparator" w:id="0">
    <w:p w14:paraId="01F3BCAA" w14:textId="77777777" w:rsidR="00FC79B6" w:rsidRDefault="00FC79B6" w:rsidP="00F4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8576" w14:textId="77777777" w:rsidR="00737781" w:rsidRDefault="00737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41A8" w14:textId="77777777" w:rsidR="00737781" w:rsidRDefault="00737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2A2" w14:textId="1ADB9B51" w:rsidR="00D22D5F" w:rsidRPr="00D22D5F" w:rsidRDefault="00552096" w:rsidP="00F17736">
    <w:pPr>
      <w:shd w:val="clear" w:color="auto" w:fill="008080"/>
      <w:tabs>
        <w:tab w:val="center" w:pos="4320"/>
        <w:tab w:val="right" w:pos="8640"/>
      </w:tabs>
      <w:rPr>
        <w:rFonts w:ascii="Century Gothic" w:eastAsia="Times New Roman" w:hAnsi="Century Gothic"/>
        <w:b/>
        <w:color w:val="FFFFFF"/>
        <w:sz w:val="36"/>
        <w:szCs w:val="36"/>
        <w:lang w:eastAsia="en-US"/>
      </w:rPr>
    </w:pPr>
    <w:r>
      <w:rPr>
        <w:rFonts w:ascii="Century Gothic" w:eastAsia="Times New Roman" w:hAnsi="Century Gothic"/>
        <w:b/>
        <w:color w:val="FFFFFF"/>
        <w:sz w:val="36"/>
        <w:szCs w:val="36"/>
        <w:highlight w:val="darkCyan"/>
        <w:lang w:eastAsia="en-US"/>
      </w:rPr>
      <w:t>Essentials</w:t>
    </w:r>
    <w:r w:rsidR="00D22D5F" w:rsidRPr="00F17736">
      <w:rPr>
        <w:rFonts w:ascii="Century Gothic" w:eastAsia="Times New Roman" w:hAnsi="Century Gothic"/>
        <w:b/>
        <w:color w:val="FFFFFF"/>
        <w:sz w:val="36"/>
        <w:szCs w:val="36"/>
        <w:highlight w:val="darkCyan"/>
        <w:lang w:eastAsia="en-US"/>
      </w:rPr>
      <w:t xml:space="preserve">  </w:t>
    </w:r>
    <w:r w:rsidR="00D22D5F" w:rsidRPr="00F17736">
      <w:rPr>
        <w:rFonts w:ascii="Century Gothic" w:eastAsia="Times New Roman" w:hAnsi="Century Gothic"/>
        <w:b/>
        <w:color w:val="FFFFFF"/>
        <w:sz w:val="36"/>
        <w:szCs w:val="36"/>
        <w:lang w:eastAsia="en-US"/>
      </w:rPr>
      <w:t xml:space="preserve">  </w:t>
    </w:r>
    <w:r w:rsidR="00D22D5F" w:rsidRPr="00D22D5F">
      <w:rPr>
        <w:rFonts w:ascii="Century Gothic" w:eastAsia="Times New Roman" w:hAnsi="Century Gothic"/>
        <w:b/>
        <w:color w:val="FFFFFF"/>
        <w:sz w:val="36"/>
        <w:szCs w:val="36"/>
        <w:lang w:eastAsia="en-US"/>
      </w:rPr>
      <w:t xml:space="preserve">            </w:t>
    </w:r>
  </w:p>
  <w:p w14:paraId="4DD9B6DF" w14:textId="7352DF7D" w:rsidR="00F42A7A" w:rsidRPr="00D22D5F" w:rsidRDefault="00F42A7A" w:rsidP="00D22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9C952"/>
    <w:multiLevelType w:val="singleLevel"/>
    <w:tmpl w:val="FFFFFFFF"/>
    <w:lvl w:ilvl="0">
      <w:numFmt w:val="decimal"/>
      <w:lvlText w:val="•"/>
      <w:lvlJc w:val="left"/>
      <w:rPr>
        <w:rFonts w:cs="Times New Roman"/>
      </w:rPr>
    </w:lvl>
  </w:abstractNum>
  <w:abstractNum w:abstractNumId="1" w15:restartNumberingAfterBreak="0">
    <w:nsid w:val="092A497B"/>
    <w:multiLevelType w:val="hybridMultilevel"/>
    <w:tmpl w:val="5C28BC9E"/>
    <w:lvl w:ilvl="0" w:tplc="B392792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A588C"/>
    <w:multiLevelType w:val="hybridMultilevel"/>
    <w:tmpl w:val="1896A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94CA85"/>
    <w:multiLevelType w:val="singleLevel"/>
    <w:tmpl w:val="FFFFFFFF"/>
    <w:lvl w:ilvl="0">
      <w:numFmt w:val="decimal"/>
      <w:lvlText w:val="•"/>
      <w:lvlJc w:val="left"/>
      <w:rPr>
        <w:rFonts w:cs="Times New Roman"/>
      </w:rPr>
    </w:lvl>
  </w:abstractNum>
  <w:abstractNum w:abstractNumId="4" w15:restartNumberingAfterBreak="0">
    <w:nsid w:val="2BE93696"/>
    <w:multiLevelType w:val="hybridMultilevel"/>
    <w:tmpl w:val="D194DB1C"/>
    <w:lvl w:ilvl="0" w:tplc="64A2327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6689D"/>
    <w:multiLevelType w:val="hybridMultilevel"/>
    <w:tmpl w:val="E6608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9B1D0B"/>
    <w:multiLevelType w:val="multilevel"/>
    <w:tmpl w:val="E948F8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9238E1"/>
    <w:multiLevelType w:val="singleLevel"/>
    <w:tmpl w:val="FFFFFFFF"/>
    <w:lvl w:ilvl="0">
      <w:numFmt w:val="decimal"/>
      <w:lvlText w:val="•"/>
      <w:lvlJc w:val="left"/>
      <w:rPr>
        <w:rFonts w:cs="Times New Roman"/>
      </w:rPr>
    </w:lvl>
  </w:abstractNum>
  <w:abstractNum w:abstractNumId="8" w15:restartNumberingAfterBreak="0">
    <w:nsid w:val="51DD447B"/>
    <w:multiLevelType w:val="hybridMultilevel"/>
    <w:tmpl w:val="A8C63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5A150E"/>
    <w:multiLevelType w:val="hybridMultilevel"/>
    <w:tmpl w:val="4AECC3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410671"/>
    <w:multiLevelType w:val="hybridMultilevel"/>
    <w:tmpl w:val="4B82113A"/>
    <w:lvl w:ilvl="0" w:tplc="B3B81D8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D0FBA"/>
    <w:multiLevelType w:val="hybridMultilevel"/>
    <w:tmpl w:val="9EC8DC92"/>
    <w:lvl w:ilvl="0" w:tplc="D4B4A55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3465D"/>
    <w:multiLevelType w:val="hybridMultilevel"/>
    <w:tmpl w:val="F17A7120"/>
    <w:lvl w:ilvl="0" w:tplc="B6E62D6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E615F"/>
    <w:multiLevelType w:val="hybridMultilevel"/>
    <w:tmpl w:val="9E166394"/>
    <w:lvl w:ilvl="0" w:tplc="6882A29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CF9C2"/>
    <w:multiLevelType w:val="singleLevel"/>
    <w:tmpl w:val="FFFFFFFF"/>
    <w:lvl w:ilvl="0">
      <w:numFmt w:val="decimal"/>
      <w:lvlText w:val="•"/>
      <w:lvlJc w:val="left"/>
      <w:rPr>
        <w:rFonts w:cs="Times New Roman"/>
      </w:rPr>
    </w:lvl>
  </w:abstractNum>
  <w:abstractNum w:abstractNumId="15" w15:restartNumberingAfterBreak="0">
    <w:nsid w:val="7BE9663C"/>
    <w:multiLevelType w:val="hybridMultilevel"/>
    <w:tmpl w:val="3C7A816E"/>
    <w:lvl w:ilvl="0" w:tplc="BEEA919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3579560">
    <w:abstractNumId w:val="3"/>
  </w:num>
  <w:num w:numId="2" w16cid:durableId="17319857">
    <w:abstractNumId w:val="7"/>
  </w:num>
  <w:num w:numId="3" w16cid:durableId="410391408">
    <w:abstractNumId w:val="14"/>
  </w:num>
  <w:num w:numId="4" w16cid:durableId="1772118242">
    <w:abstractNumId w:val="0"/>
  </w:num>
  <w:num w:numId="5" w16cid:durableId="266161772">
    <w:abstractNumId w:val="8"/>
  </w:num>
  <w:num w:numId="6" w16cid:durableId="1518814375">
    <w:abstractNumId w:val="2"/>
  </w:num>
  <w:num w:numId="7" w16cid:durableId="1969126139">
    <w:abstractNumId w:val="6"/>
  </w:num>
  <w:num w:numId="8" w16cid:durableId="2083795573">
    <w:abstractNumId w:val="9"/>
  </w:num>
  <w:num w:numId="9" w16cid:durableId="347559327">
    <w:abstractNumId w:val="1"/>
  </w:num>
  <w:num w:numId="10" w16cid:durableId="554513398">
    <w:abstractNumId w:val="4"/>
  </w:num>
  <w:num w:numId="11" w16cid:durableId="170991560">
    <w:abstractNumId w:val="10"/>
  </w:num>
  <w:num w:numId="12" w16cid:durableId="1575747759">
    <w:abstractNumId w:val="13"/>
  </w:num>
  <w:num w:numId="13" w16cid:durableId="1568608272">
    <w:abstractNumId w:val="11"/>
  </w:num>
  <w:num w:numId="14" w16cid:durableId="350570383">
    <w:abstractNumId w:val="12"/>
  </w:num>
  <w:num w:numId="15" w16cid:durableId="2054189870">
    <w:abstractNumId w:val="15"/>
  </w:num>
  <w:num w:numId="16" w16cid:durableId="1366056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E"/>
    <w:rsid w:val="00020AC1"/>
    <w:rsid w:val="0003511D"/>
    <w:rsid w:val="000E4CFA"/>
    <w:rsid w:val="000F237F"/>
    <w:rsid w:val="001023C6"/>
    <w:rsid w:val="001B11BC"/>
    <w:rsid w:val="002265E1"/>
    <w:rsid w:val="00235ACF"/>
    <w:rsid w:val="002A13C0"/>
    <w:rsid w:val="002C08D5"/>
    <w:rsid w:val="002D2F2E"/>
    <w:rsid w:val="003110E9"/>
    <w:rsid w:val="003274BB"/>
    <w:rsid w:val="0035011E"/>
    <w:rsid w:val="003836B4"/>
    <w:rsid w:val="003F0AD3"/>
    <w:rsid w:val="0042287A"/>
    <w:rsid w:val="004774A0"/>
    <w:rsid w:val="004C4A8A"/>
    <w:rsid w:val="004D4413"/>
    <w:rsid w:val="004E737C"/>
    <w:rsid w:val="004E7F0E"/>
    <w:rsid w:val="00545FD3"/>
    <w:rsid w:val="00552096"/>
    <w:rsid w:val="00552E56"/>
    <w:rsid w:val="00571652"/>
    <w:rsid w:val="00575BFE"/>
    <w:rsid w:val="00652BDB"/>
    <w:rsid w:val="006809AE"/>
    <w:rsid w:val="00686181"/>
    <w:rsid w:val="00702DFA"/>
    <w:rsid w:val="00737781"/>
    <w:rsid w:val="0079260F"/>
    <w:rsid w:val="008071B5"/>
    <w:rsid w:val="0084229B"/>
    <w:rsid w:val="00845F45"/>
    <w:rsid w:val="00853DFD"/>
    <w:rsid w:val="00877B09"/>
    <w:rsid w:val="00922F7B"/>
    <w:rsid w:val="00926FF0"/>
    <w:rsid w:val="009524D0"/>
    <w:rsid w:val="009541D0"/>
    <w:rsid w:val="00955F58"/>
    <w:rsid w:val="00965ED6"/>
    <w:rsid w:val="009736D6"/>
    <w:rsid w:val="00992BFF"/>
    <w:rsid w:val="00A15362"/>
    <w:rsid w:val="00A71C53"/>
    <w:rsid w:val="00A84EC5"/>
    <w:rsid w:val="00B17D86"/>
    <w:rsid w:val="00B9721F"/>
    <w:rsid w:val="00BA08E1"/>
    <w:rsid w:val="00BB0ADB"/>
    <w:rsid w:val="00BD69E2"/>
    <w:rsid w:val="00BF3D78"/>
    <w:rsid w:val="00C7268C"/>
    <w:rsid w:val="00CB1B40"/>
    <w:rsid w:val="00CC27E7"/>
    <w:rsid w:val="00CC4ABB"/>
    <w:rsid w:val="00CD4079"/>
    <w:rsid w:val="00CD5927"/>
    <w:rsid w:val="00CE6E0A"/>
    <w:rsid w:val="00D078AB"/>
    <w:rsid w:val="00D12797"/>
    <w:rsid w:val="00D22D5F"/>
    <w:rsid w:val="00D56E92"/>
    <w:rsid w:val="00DB20E0"/>
    <w:rsid w:val="00E602B6"/>
    <w:rsid w:val="00E70C85"/>
    <w:rsid w:val="00E75B06"/>
    <w:rsid w:val="00E80CDE"/>
    <w:rsid w:val="00E83E91"/>
    <w:rsid w:val="00EA162A"/>
    <w:rsid w:val="00EB07EC"/>
    <w:rsid w:val="00EE0998"/>
    <w:rsid w:val="00F17736"/>
    <w:rsid w:val="00F205FA"/>
    <w:rsid w:val="00F20E95"/>
    <w:rsid w:val="00F42A7A"/>
    <w:rsid w:val="00F54A90"/>
    <w:rsid w:val="00F800B9"/>
    <w:rsid w:val="00F92EBA"/>
    <w:rsid w:val="00FC79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C4D0"/>
  <w15:chartTrackingRefBased/>
  <w15:docId w15:val="{AC516387-CB16-1742-A2A3-8AA1E82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E"/>
    <w:rPr>
      <w:rFonts w:asciiTheme="minorHAnsi" w:eastAsiaTheme="minorEastAsia" w:hAnsiTheme="minorHAns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CDE"/>
    <w:rPr>
      <w:rFonts w:asciiTheme="minorHAnsi" w:eastAsiaTheme="minorEastAsia" w:hAnsiTheme="minorHAnsi"/>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A7A"/>
    <w:pPr>
      <w:tabs>
        <w:tab w:val="center" w:pos="4513"/>
        <w:tab w:val="right" w:pos="9026"/>
      </w:tabs>
    </w:pPr>
  </w:style>
  <w:style w:type="character" w:customStyle="1" w:styleId="HeaderChar">
    <w:name w:val="Header Char"/>
    <w:basedOn w:val="DefaultParagraphFont"/>
    <w:link w:val="Header"/>
    <w:uiPriority w:val="99"/>
    <w:rsid w:val="00F42A7A"/>
    <w:rPr>
      <w:rFonts w:asciiTheme="minorHAnsi" w:eastAsiaTheme="minorEastAsia" w:hAnsiTheme="minorHAnsi"/>
      <w:sz w:val="24"/>
      <w:szCs w:val="24"/>
      <w:lang w:eastAsia="en-GB"/>
    </w:rPr>
  </w:style>
  <w:style w:type="paragraph" w:styleId="Footer">
    <w:name w:val="footer"/>
    <w:basedOn w:val="Normal"/>
    <w:link w:val="FooterChar"/>
    <w:unhideWhenUsed/>
    <w:rsid w:val="00F42A7A"/>
    <w:pPr>
      <w:tabs>
        <w:tab w:val="center" w:pos="4513"/>
        <w:tab w:val="right" w:pos="9026"/>
      </w:tabs>
    </w:pPr>
  </w:style>
  <w:style w:type="character" w:customStyle="1" w:styleId="FooterChar">
    <w:name w:val="Footer Char"/>
    <w:basedOn w:val="DefaultParagraphFont"/>
    <w:link w:val="Footer"/>
    <w:rsid w:val="00F42A7A"/>
    <w:rPr>
      <w:rFonts w:asciiTheme="minorHAnsi" w:eastAsiaTheme="minorEastAsia" w:hAnsiTheme="minorHAnsi"/>
      <w:sz w:val="24"/>
      <w:szCs w:val="24"/>
      <w:lang w:eastAsia="en-GB"/>
    </w:rPr>
  </w:style>
  <w:style w:type="character" w:styleId="PageNumber">
    <w:name w:val="page number"/>
    <w:basedOn w:val="DefaultParagraphFont"/>
    <w:rsid w:val="00F42A7A"/>
  </w:style>
  <w:style w:type="paragraph" w:styleId="ListParagraph">
    <w:name w:val="List Paragraph"/>
    <w:basedOn w:val="Normal"/>
    <w:uiPriority w:val="72"/>
    <w:qFormat/>
    <w:rsid w:val="0003511D"/>
    <w:pPr>
      <w:ind w:left="720"/>
      <w:contextualSpacing/>
    </w:pPr>
  </w:style>
  <w:style w:type="character" w:styleId="CommentReference">
    <w:name w:val="annotation reference"/>
    <w:basedOn w:val="DefaultParagraphFont"/>
    <w:uiPriority w:val="99"/>
    <w:semiHidden/>
    <w:unhideWhenUsed/>
    <w:rsid w:val="0084229B"/>
    <w:rPr>
      <w:sz w:val="16"/>
      <w:szCs w:val="16"/>
    </w:rPr>
  </w:style>
  <w:style w:type="paragraph" w:styleId="CommentText">
    <w:name w:val="annotation text"/>
    <w:basedOn w:val="Normal"/>
    <w:link w:val="CommentTextChar"/>
    <w:uiPriority w:val="99"/>
    <w:semiHidden/>
    <w:unhideWhenUsed/>
    <w:rsid w:val="0084229B"/>
    <w:rPr>
      <w:sz w:val="20"/>
      <w:szCs w:val="20"/>
    </w:rPr>
  </w:style>
  <w:style w:type="character" w:customStyle="1" w:styleId="CommentTextChar">
    <w:name w:val="Comment Text Char"/>
    <w:basedOn w:val="DefaultParagraphFont"/>
    <w:link w:val="CommentText"/>
    <w:uiPriority w:val="99"/>
    <w:semiHidden/>
    <w:rsid w:val="0084229B"/>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9"/>
    <w:semiHidden/>
    <w:unhideWhenUsed/>
    <w:rsid w:val="0084229B"/>
    <w:rPr>
      <w:b/>
      <w:bCs/>
    </w:rPr>
  </w:style>
  <w:style w:type="character" w:customStyle="1" w:styleId="CommentSubjectChar">
    <w:name w:val="Comment Subject Char"/>
    <w:basedOn w:val="CommentTextChar"/>
    <w:link w:val="CommentSubject"/>
    <w:uiPriority w:val="99"/>
    <w:semiHidden/>
    <w:rsid w:val="0084229B"/>
    <w:rPr>
      <w:rFonts w:asciiTheme="minorHAnsi" w:eastAsiaTheme="minorEastAsia" w:hAnsiTheme="minorHAnsi"/>
      <w:b/>
      <w:bCs/>
      <w:lang w:eastAsia="en-GB"/>
    </w:rPr>
  </w:style>
  <w:style w:type="paragraph" w:styleId="Revision">
    <w:name w:val="Revision"/>
    <w:hidden/>
    <w:uiPriority w:val="99"/>
    <w:semiHidden/>
    <w:rsid w:val="00571652"/>
    <w:rPr>
      <w:rFonts w:asciiTheme="minorHAnsi" w:eastAsiaTheme="minorEastAsia"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a.org.uk/publication/consultation/cp21-36.pdf" TargetMode="External"/><Relationship Id="rId13" Type="http://schemas.openxmlformats.org/officeDocument/2006/relationships/hyperlink" Target="http://uk.practicallaw.thomsonreuters.com/0-606-7466?originationContext=document&amp;vr=3.0&amp;rs=PLUK1.0&amp;transitionType=PLDocumentLink&amp;contextData=(sc.Default)" TargetMode="External"/><Relationship Id="rId18" Type="http://schemas.openxmlformats.org/officeDocument/2006/relationships/hyperlink" Target="https://www.fca.org.uk/publication/consultation/cp21-36.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ca.org.uk/publication/consultation/cp21-36.pdf" TargetMode="External"/><Relationship Id="rId17" Type="http://schemas.openxmlformats.org/officeDocument/2006/relationships/hyperlink" Target="https://www.fca.org.uk/publication/consultation/cp21-36.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ca.org.uk/publication/consultation/cp21-36.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publication/consultation/cp21-36.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andbook.fca.org.uk/handbook/PRIN/" TargetMode="External"/><Relationship Id="rId23" Type="http://schemas.openxmlformats.org/officeDocument/2006/relationships/header" Target="header3.xml"/><Relationship Id="rId10" Type="http://schemas.openxmlformats.org/officeDocument/2006/relationships/hyperlink" Target="http://uk.practicallaw.thomsonreuters.com/0-606-7466?originationContext=document&amp;vr=3.0&amp;rs=PLUK1.0&amp;transitionType=PLDocumentLink&amp;contextData=(sc.Defau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a.org.uk/publication/consultation/cp21-36.pdf" TargetMode="External"/><Relationship Id="rId14" Type="http://schemas.openxmlformats.org/officeDocument/2006/relationships/hyperlink" Target="https://www.fca.org.uk/publication/consultation/cp21-36.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91BF-C2F1-4D0E-A3D7-A1DD4C0A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5920</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4</cp:revision>
  <dcterms:created xsi:type="dcterms:W3CDTF">2024-03-14T07:24:00Z</dcterms:created>
  <dcterms:modified xsi:type="dcterms:W3CDTF">2024-03-19T12:34:00Z</dcterms:modified>
</cp:coreProperties>
</file>