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7AF49" w14:textId="2F665809" w:rsidR="00713866" w:rsidRPr="009E030E" w:rsidRDefault="00713866" w:rsidP="00713866">
      <w:pPr>
        <w:spacing w:line="240" w:lineRule="auto"/>
        <w:jc w:val="center"/>
        <w:rPr>
          <w:rFonts w:ascii="Corbel" w:hAnsi="Corbel"/>
          <w:b/>
          <w:u w:val="single"/>
        </w:rPr>
      </w:pPr>
    </w:p>
    <w:p w14:paraId="3F0D14B0" w14:textId="77777777" w:rsidR="000B47EE" w:rsidRPr="000B47EE" w:rsidRDefault="000B47EE" w:rsidP="000B47EE">
      <w:pPr>
        <w:pStyle w:val="01StandardTitle"/>
        <w:rPr>
          <w:rFonts w:ascii="Century Gothic" w:hAnsi="Century Gothic"/>
          <w:color w:val="15A9B2"/>
          <w:sz w:val="32"/>
          <w:szCs w:val="32"/>
        </w:rPr>
      </w:pPr>
      <w:r w:rsidRPr="000B47EE">
        <w:rPr>
          <w:rFonts w:ascii="Century Gothic" w:hAnsi="Century Gothic"/>
          <w:color w:val="15A9B2"/>
          <w:sz w:val="32"/>
          <w:szCs w:val="32"/>
        </w:rPr>
        <w:t>Investment Committee Terms of Reference</w:t>
      </w:r>
    </w:p>
    <w:p w14:paraId="0C1BEF7C" w14:textId="77777777" w:rsidR="005648D9" w:rsidRDefault="005648D9" w:rsidP="00037062">
      <w:pPr>
        <w:autoSpaceDE w:val="0"/>
        <w:autoSpaceDN w:val="0"/>
        <w:adjustRightInd w:val="0"/>
        <w:spacing w:after="0" w:line="360" w:lineRule="auto"/>
        <w:jc w:val="both"/>
        <w:rPr>
          <w:rFonts w:ascii="Century Gothic" w:hAnsi="Century Gothic" w:cs="Aparajita"/>
          <w:b/>
          <w:color w:val="15A9B2"/>
        </w:rPr>
      </w:pPr>
    </w:p>
    <w:tbl>
      <w:tblPr>
        <w:tblW w:w="9356" w:type="dxa"/>
        <w:tblInd w:w="-209" w:type="dxa"/>
        <w:tblBorders>
          <w:top w:val="single" w:sz="4" w:space="0" w:color="4F565B"/>
          <w:left w:val="single" w:sz="4" w:space="0" w:color="4F565B"/>
          <w:bottom w:val="single" w:sz="4" w:space="0" w:color="4F565B"/>
          <w:right w:val="single" w:sz="4" w:space="0" w:color="4F565B"/>
          <w:insideH w:val="single" w:sz="4" w:space="0" w:color="4F565B"/>
          <w:insideV w:val="single" w:sz="4" w:space="0" w:color="4F565B"/>
        </w:tblBorders>
        <w:tblLayout w:type="fixed"/>
        <w:tblCellMar>
          <w:left w:w="75" w:type="dxa"/>
          <w:right w:w="75" w:type="dxa"/>
        </w:tblCellMar>
        <w:tblLook w:val="04A0" w:firstRow="1" w:lastRow="0" w:firstColumn="1" w:lastColumn="0" w:noHBand="0" w:noVBand="1"/>
      </w:tblPr>
      <w:tblGrid>
        <w:gridCol w:w="1702"/>
        <w:gridCol w:w="7654"/>
      </w:tblGrid>
      <w:tr w:rsidR="000B47EE" w:rsidRPr="00183D78" w14:paraId="768241C4" w14:textId="77777777" w:rsidTr="00612B12">
        <w:tc>
          <w:tcPr>
            <w:tcW w:w="1702" w:type="dxa"/>
            <w:tcBorders>
              <w:top w:val="single" w:sz="4" w:space="0" w:color="4F565B"/>
              <w:left w:val="single" w:sz="4" w:space="0" w:color="4F565B"/>
              <w:bottom w:val="single" w:sz="4" w:space="0" w:color="4F565B"/>
              <w:right w:val="single" w:sz="4" w:space="0" w:color="4F565B"/>
            </w:tcBorders>
            <w:shd w:val="clear" w:color="auto" w:fill="15A9B2"/>
            <w:vAlign w:val="center"/>
            <w:hideMark/>
          </w:tcPr>
          <w:p w14:paraId="51CA8FE6" w14:textId="77777777" w:rsidR="000B47EE" w:rsidRPr="00584714" w:rsidRDefault="000B47EE" w:rsidP="00612B12">
            <w:pPr>
              <w:pStyle w:val="07Tabletext"/>
              <w:spacing w:before="60" w:after="60"/>
              <w:rPr>
                <w:rFonts w:ascii="Century Gothic" w:eastAsia="Times New Roman" w:hAnsi="Century Gothic"/>
                <w:color w:val="FFFFFF" w:themeColor="background1"/>
                <w:sz w:val="24"/>
                <w:szCs w:val="24"/>
              </w:rPr>
            </w:pPr>
            <w:r w:rsidRPr="00584714">
              <w:rPr>
                <w:rFonts w:ascii="Century Gothic" w:hAnsi="Century Gothic"/>
                <w:color w:val="FFFFFF" w:themeColor="background1"/>
              </w:rPr>
              <w:t>Authority</w:t>
            </w: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62FF4837" w14:textId="68A7AF01" w:rsidR="000B47EE" w:rsidRPr="00183D78" w:rsidRDefault="000B47EE" w:rsidP="00612B12">
            <w:pPr>
              <w:pStyle w:val="07Tabletext"/>
              <w:spacing w:before="60" w:after="60"/>
              <w:rPr>
                <w:rFonts w:ascii="Century Gothic" w:eastAsia="Times New Roman" w:hAnsi="Century Gothic"/>
                <w:sz w:val="24"/>
                <w:szCs w:val="24"/>
              </w:rPr>
            </w:pPr>
            <w:r w:rsidRPr="00183D78">
              <w:rPr>
                <w:rFonts w:ascii="Century Gothic" w:hAnsi="Century Gothic"/>
                <w:color w:val="000000"/>
              </w:rPr>
              <w:t xml:space="preserve">The committee provides an escalation point for investment research and investment management issues. It sets the direction on investment research and investment management issues and provides oversight to relevant processes, risks and internal controls </w:t>
            </w:r>
          </w:p>
        </w:tc>
      </w:tr>
      <w:tr w:rsidR="000B47EE" w:rsidRPr="00183D78" w14:paraId="306AB00D" w14:textId="77777777" w:rsidTr="00612B12">
        <w:tc>
          <w:tcPr>
            <w:tcW w:w="1702" w:type="dxa"/>
            <w:tcBorders>
              <w:top w:val="single" w:sz="4" w:space="0" w:color="4F565B"/>
              <w:left w:val="single" w:sz="4" w:space="0" w:color="4F565B"/>
              <w:bottom w:val="single" w:sz="4" w:space="0" w:color="4F565B"/>
              <w:right w:val="single" w:sz="4" w:space="0" w:color="4F565B"/>
            </w:tcBorders>
            <w:shd w:val="clear" w:color="auto" w:fill="15A9B2"/>
            <w:vAlign w:val="center"/>
            <w:hideMark/>
          </w:tcPr>
          <w:p w14:paraId="7E21E998" w14:textId="77777777" w:rsidR="000B47EE" w:rsidRPr="00584714" w:rsidRDefault="000B47EE" w:rsidP="00612B12">
            <w:pPr>
              <w:pStyle w:val="07Tabletext"/>
              <w:spacing w:before="60" w:after="60"/>
              <w:rPr>
                <w:rFonts w:ascii="Century Gothic" w:eastAsia="Times New Roman" w:hAnsi="Century Gothic"/>
                <w:color w:val="FFFFFF" w:themeColor="background1"/>
                <w:sz w:val="24"/>
                <w:szCs w:val="24"/>
              </w:rPr>
            </w:pPr>
            <w:r w:rsidRPr="00584714">
              <w:rPr>
                <w:rFonts w:ascii="Century Gothic" w:hAnsi="Century Gothic"/>
                <w:color w:val="FFFFFF" w:themeColor="background1"/>
              </w:rPr>
              <w:t>Chairman</w:t>
            </w: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760B73E9" w14:textId="77777777" w:rsidR="000B47EE" w:rsidRPr="00183D78" w:rsidRDefault="000B47EE" w:rsidP="00612B12">
            <w:pPr>
              <w:pStyle w:val="07Tabletext"/>
              <w:spacing w:before="60" w:after="60"/>
              <w:rPr>
                <w:rFonts w:ascii="Century Gothic" w:eastAsia="Times New Roman" w:hAnsi="Century Gothic"/>
                <w:sz w:val="24"/>
                <w:szCs w:val="24"/>
              </w:rPr>
            </w:pPr>
          </w:p>
        </w:tc>
      </w:tr>
      <w:tr w:rsidR="000B47EE" w:rsidRPr="00183D78" w14:paraId="042E21DE" w14:textId="77777777" w:rsidTr="00612B12">
        <w:tc>
          <w:tcPr>
            <w:tcW w:w="1702" w:type="dxa"/>
            <w:tcBorders>
              <w:top w:val="single" w:sz="4" w:space="0" w:color="4F565B"/>
              <w:left w:val="single" w:sz="4" w:space="0" w:color="4F565B"/>
              <w:bottom w:val="single" w:sz="4" w:space="0" w:color="4F565B"/>
              <w:right w:val="single" w:sz="4" w:space="0" w:color="4F565B"/>
            </w:tcBorders>
            <w:shd w:val="clear" w:color="auto" w:fill="15A9B2"/>
            <w:vAlign w:val="center"/>
            <w:hideMark/>
          </w:tcPr>
          <w:p w14:paraId="07F0A6B0" w14:textId="77777777" w:rsidR="000B47EE" w:rsidRPr="00584714" w:rsidRDefault="000B47EE" w:rsidP="00612B12">
            <w:pPr>
              <w:pStyle w:val="07Tabletext"/>
              <w:spacing w:before="60" w:after="60"/>
              <w:rPr>
                <w:rFonts w:ascii="Century Gothic" w:eastAsia="Times New Roman" w:hAnsi="Century Gothic"/>
                <w:color w:val="FFFFFF" w:themeColor="background1"/>
                <w:sz w:val="24"/>
                <w:szCs w:val="24"/>
              </w:rPr>
            </w:pPr>
            <w:r w:rsidRPr="00584714">
              <w:rPr>
                <w:rFonts w:ascii="Century Gothic" w:hAnsi="Century Gothic"/>
                <w:color w:val="FFFFFF" w:themeColor="background1"/>
              </w:rPr>
              <w:t>Membership:</w:t>
            </w: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363757C0" w14:textId="77777777" w:rsidR="000B47EE" w:rsidRPr="00183D78" w:rsidRDefault="000B47EE" w:rsidP="00612B12">
            <w:pPr>
              <w:pStyle w:val="07Tabletext"/>
              <w:spacing w:before="60" w:after="60"/>
              <w:rPr>
                <w:rFonts w:ascii="Century Gothic" w:eastAsia="Times New Roman" w:hAnsi="Century Gothic"/>
                <w:sz w:val="24"/>
                <w:szCs w:val="24"/>
              </w:rPr>
            </w:pPr>
          </w:p>
        </w:tc>
      </w:tr>
      <w:tr w:rsidR="000B47EE" w:rsidRPr="00183D78" w14:paraId="26EFF5B7" w14:textId="77777777" w:rsidTr="00612B12">
        <w:tc>
          <w:tcPr>
            <w:tcW w:w="1702" w:type="dxa"/>
            <w:tcBorders>
              <w:top w:val="single" w:sz="4" w:space="0" w:color="4F565B"/>
              <w:left w:val="single" w:sz="4" w:space="0" w:color="4F565B"/>
              <w:bottom w:val="single" w:sz="4" w:space="0" w:color="4F565B"/>
              <w:right w:val="single" w:sz="4" w:space="0" w:color="4F565B"/>
            </w:tcBorders>
            <w:shd w:val="clear" w:color="auto" w:fill="15A9B2"/>
            <w:vAlign w:val="center"/>
            <w:hideMark/>
          </w:tcPr>
          <w:p w14:paraId="78D5EF34" w14:textId="77777777" w:rsidR="000B47EE" w:rsidRPr="00584714" w:rsidRDefault="000B47EE" w:rsidP="00612B12">
            <w:pPr>
              <w:pStyle w:val="07Tabletext"/>
              <w:spacing w:before="60" w:after="60"/>
              <w:rPr>
                <w:rFonts w:ascii="Century Gothic" w:eastAsia="Times New Roman" w:hAnsi="Century Gothic"/>
                <w:color w:val="FFFFFF" w:themeColor="background1"/>
                <w:sz w:val="24"/>
                <w:szCs w:val="24"/>
              </w:rPr>
            </w:pPr>
            <w:r w:rsidRPr="00584714">
              <w:rPr>
                <w:rFonts w:ascii="Century Gothic" w:hAnsi="Century Gothic"/>
                <w:color w:val="FFFFFF" w:themeColor="background1"/>
              </w:rPr>
              <w:t>Quorum:</w:t>
            </w: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42468884" w14:textId="77777777" w:rsidR="000B47EE" w:rsidRPr="00183D78" w:rsidRDefault="000B47EE" w:rsidP="00612B12">
            <w:pPr>
              <w:pStyle w:val="07Tabletext"/>
              <w:spacing w:before="60" w:after="60"/>
              <w:rPr>
                <w:rFonts w:ascii="Century Gothic" w:eastAsia="Times New Roman" w:hAnsi="Century Gothic"/>
                <w:bCs/>
              </w:rPr>
            </w:pPr>
          </w:p>
        </w:tc>
      </w:tr>
      <w:tr w:rsidR="000B47EE" w:rsidRPr="00183D78" w14:paraId="42F10E39" w14:textId="77777777" w:rsidTr="00612B12">
        <w:tc>
          <w:tcPr>
            <w:tcW w:w="1702" w:type="dxa"/>
            <w:tcBorders>
              <w:top w:val="single" w:sz="4" w:space="0" w:color="4F565B"/>
              <w:left w:val="single" w:sz="4" w:space="0" w:color="4F565B"/>
              <w:bottom w:val="single" w:sz="4" w:space="0" w:color="4F565B"/>
              <w:right w:val="single" w:sz="4" w:space="0" w:color="4F565B"/>
            </w:tcBorders>
            <w:shd w:val="clear" w:color="auto" w:fill="15A9B2"/>
            <w:vAlign w:val="center"/>
            <w:hideMark/>
          </w:tcPr>
          <w:p w14:paraId="5EB22513" w14:textId="77777777" w:rsidR="000B47EE" w:rsidRPr="00584714" w:rsidRDefault="000B47EE" w:rsidP="00612B12">
            <w:pPr>
              <w:pStyle w:val="07Tabletext"/>
              <w:spacing w:before="60" w:after="60"/>
              <w:rPr>
                <w:rFonts w:ascii="Century Gothic" w:eastAsia="Times New Roman" w:hAnsi="Century Gothic"/>
                <w:color w:val="FFFFFF" w:themeColor="background1"/>
                <w:sz w:val="24"/>
                <w:szCs w:val="24"/>
              </w:rPr>
            </w:pPr>
            <w:r w:rsidRPr="00584714">
              <w:rPr>
                <w:rFonts w:ascii="Century Gothic" w:hAnsi="Century Gothic"/>
                <w:color w:val="FFFFFF" w:themeColor="background1"/>
              </w:rPr>
              <w:t>Frequency of meetings:</w:t>
            </w: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7345418F" w14:textId="77777777" w:rsidR="000B47EE" w:rsidRPr="00183D78" w:rsidRDefault="000B47EE" w:rsidP="00612B12">
            <w:pPr>
              <w:pStyle w:val="07Tabletext"/>
              <w:spacing w:before="60" w:after="60"/>
              <w:rPr>
                <w:rFonts w:ascii="Century Gothic" w:eastAsia="Times New Roman" w:hAnsi="Century Gothic"/>
                <w:i/>
                <w:sz w:val="24"/>
                <w:szCs w:val="24"/>
              </w:rPr>
            </w:pPr>
          </w:p>
        </w:tc>
      </w:tr>
      <w:tr w:rsidR="000B47EE" w:rsidRPr="00183D78" w14:paraId="1523EB20" w14:textId="77777777" w:rsidTr="00612B12">
        <w:tc>
          <w:tcPr>
            <w:tcW w:w="1702" w:type="dxa"/>
            <w:tcBorders>
              <w:top w:val="single" w:sz="4" w:space="0" w:color="4F565B"/>
              <w:left w:val="single" w:sz="4" w:space="0" w:color="4F565B"/>
              <w:bottom w:val="single" w:sz="4" w:space="0" w:color="4F565B"/>
              <w:right w:val="single" w:sz="4" w:space="0" w:color="4F565B"/>
            </w:tcBorders>
            <w:shd w:val="clear" w:color="auto" w:fill="15A9B2"/>
            <w:vAlign w:val="center"/>
            <w:hideMark/>
          </w:tcPr>
          <w:p w14:paraId="7C46C8AC" w14:textId="77777777" w:rsidR="000B47EE" w:rsidRDefault="000B47EE" w:rsidP="00612B12">
            <w:pPr>
              <w:pStyle w:val="07Tabletext"/>
              <w:spacing w:before="60" w:after="60"/>
              <w:rPr>
                <w:rFonts w:ascii="Century Gothic" w:hAnsi="Century Gothic"/>
                <w:color w:val="FFFFFF" w:themeColor="background1"/>
              </w:rPr>
            </w:pPr>
            <w:r w:rsidRPr="00584714">
              <w:rPr>
                <w:rFonts w:ascii="Century Gothic" w:hAnsi="Century Gothic"/>
                <w:color w:val="FFFFFF" w:themeColor="background1"/>
              </w:rPr>
              <w:t>Role/principal functions:</w:t>
            </w:r>
          </w:p>
          <w:p w14:paraId="43BA42C5" w14:textId="77777777" w:rsidR="00971F0E" w:rsidRPr="00971F0E" w:rsidRDefault="00971F0E" w:rsidP="00971F0E">
            <w:pPr>
              <w:rPr>
                <w:lang w:eastAsia="en-US"/>
              </w:rPr>
            </w:pPr>
          </w:p>
          <w:p w14:paraId="3105E2CB" w14:textId="77777777" w:rsidR="00971F0E" w:rsidRPr="00971F0E" w:rsidRDefault="00971F0E" w:rsidP="00971F0E">
            <w:pPr>
              <w:rPr>
                <w:lang w:eastAsia="en-US"/>
              </w:rPr>
            </w:pPr>
          </w:p>
          <w:p w14:paraId="5544E0B2" w14:textId="77777777" w:rsidR="00971F0E" w:rsidRPr="00971F0E" w:rsidRDefault="00971F0E" w:rsidP="00971F0E">
            <w:pPr>
              <w:rPr>
                <w:lang w:eastAsia="en-US"/>
              </w:rPr>
            </w:pPr>
          </w:p>
          <w:p w14:paraId="43944BDF" w14:textId="77777777" w:rsidR="00971F0E" w:rsidRPr="00971F0E" w:rsidRDefault="00971F0E" w:rsidP="00971F0E">
            <w:pPr>
              <w:rPr>
                <w:lang w:eastAsia="en-US"/>
              </w:rPr>
            </w:pPr>
          </w:p>
          <w:p w14:paraId="57AE81B4" w14:textId="77777777" w:rsidR="00971F0E" w:rsidRPr="00971F0E" w:rsidRDefault="00971F0E" w:rsidP="00971F0E">
            <w:pPr>
              <w:rPr>
                <w:lang w:eastAsia="en-US"/>
              </w:rPr>
            </w:pPr>
          </w:p>
          <w:p w14:paraId="50E59929" w14:textId="77777777" w:rsidR="00971F0E" w:rsidRPr="00971F0E" w:rsidRDefault="00971F0E" w:rsidP="00971F0E">
            <w:pPr>
              <w:rPr>
                <w:lang w:eastAsia="en-US"/>
              </w:rPr>
            </w:pPr>
          </w:p>
          <w:p w14:paraId="729B26D5" w14:textId="77777777" w:rsidR="00971F0E" w:rsidRPr="00971F0E" w:rsidRDefault="00971F0E" w:rsidP="00971F0E">
            <w:pPr>
              <w:rPr>
                <w:lang w:eastAsia="en-US"/>
              </w:rPr>
            </w:pPr>
          </w:p>
          <w:p w14:paraId="05F8FDAC" w14:textId="77777777" w:rsidR="00971F0E" w:rsidRPr="00971F0E" w:rsidRDefault="00971F0E" w:rsidP="00971F0E">
            <w:pPr>
              <w:rPr>
                <w:lang w:eastAsia="en-US"/>
              </w:rPr>
            </w:pPr>
          </w:p>
          <w:p w14:paraId="72278308" w14:textId="77777777" w:rsidR="00971F0E" w:rsidRPr="00971F0E" w:rsidRDefault="00971F0E" w:rsidP="00971F0E">
            <w:pPr>
              <w:rPr>
                <w:lang w:eastAsia="en-US"/>
              </w:rPr>
            </w:pPr>
          </w:p>
          <w:p w14:paraId="121E61A7" w14:textId="77777777" w:rsidR="00971F0E" w:rsidRDefault="00971F0E" w:rsidP="00971F0E">
            <w:pPr>
              <w:rPr>
                <w:rFonts w:ascii="Century Gothic" w:eastAsia="Calibri" w:hAnsi="Century Gothic" w:cs="Times New Roman"/>
                <w:color w:val="FFFFFF" w:themeColor="background1"/>
                <w:lang w:eastAsia="en-US"/>
              </w:rPr>
            </w:pPr>
          </w:p>
          <w:p w14:paraId="1858926D" w14:textId="77777777" w:rsidR="00971F0E" w:rsidRPr="00971F0E" w:rsidRDefault="00971F0E" w:rsidP="00971F0E">
            <w:pPr>
              <w:rPr>
                <w:lang w:eastAsia="en-US"/>
              </w:rPr>
            </w:pPr>
          </w:p>
          <w:p w14:paraId="34C7C03F" w14:textId="77777777" w:rsidR="00971F0E" w:rsidRPr="00971F0E" w:rsidRDefault="00971F0E" w:rsidP="00971F0E">
            <w:pPr>
              <w:rPr>
                <w:lang w:eastAsia="en-US"/>
              </w:rPr>
            </w:pPr>
          </w:p>
          <w:p w14:paraId="687D6E24" w14:textId="77777777" w:rsidR="00971F0E" w:rsidRPr="00971F0E" w:rsidRDefault="00971F0E" w:rsidP="00971F0E">
            <w:pPr>
              <w:rPr>
                <w:lang w:eastAsia="en-US"/>
              </w:rPr>
            </w:pPr>
          </w:p>
          <w:p w14:paraId="5EA456CC" w14:textId="77777777" w:rsidR="00971F0E" w:rsidRPr="00971F0E" w:rsidRDefault="00971F0E" w:rsidP="00971F0E">
            <w:pPr>
              <w:rPr>
                <w:lang w:eastAsia="en-US"/>
              </w:rPr>
            </w:pPr>
          </w:p>
          <w:p w14:paraId="3B4FBF11" w14:textId="77777777" w:rsidR="00971F0E" w:rsidRDefault="00971F0E" w:rsidP="00971F0E">
            <w:pPr>
              <w:rPr>
                <w:rFonts w:ascii="Century Gothic" w:eastAsia="Calibri" w:hAnsi="Century Gothic" w:cs="Times New Roman"/>
                <w:color w:val="FFFFFF" w:themeColor="background1"/>
                <w:lang w:eastAsia="en-US"/>
              </w:rPr>
            </w:pPr>
          </w:p>
          <w:p w14:paraId="2A837A79" w14:textId="77777777" w:rsidR="00971F0E" w:rsidRPr="00971F0E" w:rsidRDefault="00971F0E" w:rsidP="00971F0E">
            <w:pPr>
              <w:rPr>
                <w:lang w:eastAsia="en-US"/>
              </w:rPr>
            </w:pPr>
          </w:p>
          <w:p w14:paraId="0499F834" w14:textId="77777777" w:rsidR="00971F0E" w:rsidRPr="00971F0E" w:rsidRDefault="00971F0E" w:rsidP="00971F0E">
            <w:pPr>
              <w:rPr>
                <w:lang w:eastAsia="en-US"/>
              </w:rPr>
            </w:pPr>
          </w:p>
          <w:p w14:paraId="4BDDB599" w14:textId="77777777" w:rsidR="00971F0E" w:rsidRDefault="00971F0E" w:rsidP="00971F0E">
            <w:pPr>
              <w:rPr>
                <w:rFonts w:ascii="Century Gothic" w:eastAsia="Calibri" w:hAnsi="Century Gothic" w:cs="Times New Roman"/>
                <w:color w:val="FFFFFF" w:themeColor="background1"/>
                <w:lang w:eastAsia="en-US"/>
              </w:rPr>
            </w:pPr>
          </w:p>
          <w:p w14:paraId="11E462B4" w14:textId="77777777" w:rsidR="00971F0E" w:rsidRDefault="00971F0E" w:rsidP="00971F0E">
            <w:pPr>
              <w:rPr>
                <w:rFonts w:ascii="Century Gothic" w:eastAsia="Calibri" w:hAnsi="Century Gothic" w:cs="Times New Roman"/>
                <w:color w:val="FFFFFF" w:themeColor="background1"/>
                <w:lang w:eastAsia="en-US"/>
              </w:rPr>
            </w:pPr>
          </w:p>
          <w:p w14:paraId="34BB838A" w14:textId="138C8C05" w:rsidR="00971F0E" w:rsidRPr="00971F0E" w:rsidRDefault="00971F0E" w:rsidP="00971F0E">
            <w:pPr>
              <w:rPr>
                <w:lang w:eastAsia="en-US"/>
              </w:rPr>
            </w:pPr>
          </w:p>
        </w:tc>
        <w:tc>
          <w:tcPr>
            <w:tcW w:w="7654" w:type="dxa"/>
            <w:tcBorders>
              <w:top w:val="single" w:sz="4" w:space="0" w:color="4F565B"/>
              <w:left w:val="single" w:sz="4" w:space="0" w:color="4F565B"/>
              <w:bottom w:val="single" w:sz="4" w:space="0" w:color="4F565B"/>
              <w:right w:val="single" w:sz="4" w:space="0" w:color="4F565B"/>
            </w:tcBorders>
            <w:vAlign w:val="center"/>
            <w:hideMark/>
          </w:tcPr>
          <w:p w14:paraId="18B20F04" w14:textId="77777777" w:rsidR="000B47EE" w:rsidRPr="00183D78" w:rsidRDefault="000B47EE" w:rsidP="00612B12">
            <w:pPr>
              <w:pStyle w:val="07Tabletext"/>
              <w:spacing w:before="60" w:after="60"/>
              <w:rPr>
                <w:rFonts w:ascii="Century Gothic" w:hAnsi="Century Gothic"/>
                <w:b/>
              </w:rPr>
            </w:pPr>
            <w:r w:rsidRPr="00183D78">
              <w:rPr>
                <w:rFonts w:ascii="Century Gothic" w:hAnsi="Century Gothic"/>
                <w:b/>
              </w:rPr>
              <w:lastRenderedPageBreak/>
              <w:t>General</w:t>
            </w:r>
          </w:p>
          <w:p w14:paraId="01F6C3AE" w14:textId="77777777" w:rsidR="000B47EE" w:rsidRPr="00183D78" w:rsidRDefault="000B47EE" w:rsidP="00612B12">
            <w:pPr>
              <w:pStyle w:val="07Tabletext"/>
              <w:numPr>
                <w:ilvl w:val="0"/>
                <w:numId w:val="20"/>
              </w:numPr>
              <w:spacing w:before="60" w:after="60"/>
              <w:rPr>
                <w:rFonts w:ascii="Century Gothic" w:hAnsi="Century Gothic"/>
              </w:rPr>
            </w:pPr>
            <w:r w:rsidRPr="00183D78">
              <w:rPr>
                <w:rFonts w:ascii="Century Gothic" w:hAnsi="Century Gothic"/>
              </w:rPr>
              <w:t>Provide a decision making forum where representatives of the firm can discuss investment proposition and service issues which may affect, sales and operations with the aim of ensuring that clients receive reasonable fund performance, and operational processes and controls are maintained and continuously improved;</w:t>
            </w:r>
          </w:p>
          <w:p w14:paraId="72BD98AA" w14:textId="77777777" w:rsidR="000B47EE" w:rsidRPr="00183D78" w:rsidRDefault="000B47EE" w:rsidP="00612B12">
            <w:pPr>
              <w:pStyle w:val="07Tabletext"/>
              <w:numPr>
                <w:ilvl w:val="0"/>
                <w:numId w:val="20"/>
              </w:numPr>
              <w:spacing w:before="60" w:after="60"/>
              <w:rPr>
                <w:rFonts w:ascii="Century Gothic" w:hAnsi="Century Gothic"/>
              </w:rPr>
            </w:pPr>
            <w:r w:rsidRPr="00183D78">
              <w:rPr>
                <w:rFonts w:ascii="Century Gothic" w:hAnsi="Century Gothic"/>
              </w:rPr>
              <w:t>Undertake appropriate reviews to ensure the firm’s status for investment advice (independent or restricted) is maintained. This will also involve a review of products falling within the definition of a retail investment product (as this may be updated).</w:t>
            </w:r>
          </w:p>
          <w:p w14:paraId="6E96A346" w14:textId="77777777" w:rsidR="000B47EE" w:rsidRPr="00183D78" w:rsidRDefault="000B47EE" w:rsidP="00612B12">
            <w:pPr>
              <w:pStyle w:val="07Tabletext"/>
              <w:numPr>
                <w:ilvl w:val="0"/>
                <w:numId w:val="20"/>
              </w:numPr>
              <w:spacing w:before="60" w:after="60"/>
              <w:rPr>
                <w:rFonts w:ascii="Century Gothic" w:hAnsi="Century Gothic"/>
              </w:rPr>
            </w:pPr>
            <w:r w:rsidRPr="00183D78">
              <w:rPr>
                <w:rFonts w:ascii="Century Gothic" w:hAnsi="Century Gothic"/>
              </w:rPr>
              <w:t>Review the effectiveness of the business’s investment proposition strategy and review/agree initiatives to improve this (where relevant)</w:t>
            </w:r>
          </w:p>
          <w:p w14:paraId="2402AC64" w14:textId="77777777" w:rsidR="000B47EE" w:rsidRPr="00183D78" w:rsidRDefault="000B47EE" w:rsidP="00612B12">
            <w:pPr>
              <w:pStyle w:val="07Tabletext"/>
              <w:numPr>
                <w:ilvl w:val="0"/>
                <w:numId w:val="20"/>
              </w:numPr>
              <w:spacing w:before="60" w:after="60"/>
              <w:rPr>
                <w:rFonts w:ascii="Century Gothic" w:hAnsi="Century Gothic"/>
              </w:rPr>
            </w:pPr>
            <w:r w:rsidRPr="00183D78">
              <w:rPr>
                <w:rFonts w:ascii="Century Gothic" w:hAnsi="Century Gothic"/>
              </w:rPr>
              <w:t>Maintain a control framework, ensuring that appropriate controls exist within the firm to allow operation within given risk tolerances;</w:t>
            </w:r>
          </w:p>
          <w:p w14:paraId="159C4AD4" w14:textId="77777777" w:rsidR="000B47EE" w:rsidRPr="00183D78" w:rsidRDefault="000B47EE" w:rsidP="00612B12">
            <w:pPr>
              <w:pStyle w:val="07Tabletext"/>
              <w:spacing w:before="60" w:after="60"/>
              <w:rPr>
                <w:rFonts w:ascii="Century Gothic" w:hAnsi="Century Gothic"/>
                <w:b/>
              </w:rPr>
            </w:pPr>
          </w:p>
          <w:p w14:paraId="27EF59F8" w14:textId="77777777" w:rsidR="000B47EE" w:rsidRPr="00183D78" w:rsidRDefault="000B47EE" w:rsidP="00612B12">
            <w:pPr>
              <w:pStyle w:val="07Tabletext"/>
              <w:spacing w:before="60" w:after="60"/>
              <w:rPr>
                <w:rFonts w:ascii="Century Gothic" w:hAnsi="Century Gothic"/>
                <w:b/>
              </w:rPr>
            </w:pPr>
            <w:r w:rsidRPr="00183D78">
              <w:rPr>
                <w:rFonts w:ascii="Century Gothic" w:hAnsi="Century Gothic"/>
                <w:b/>
              </w:rPr>
              <w:t>Specific</w:t>
            </w:r>
          </w:p>
          <w:p w14:paraId="245B465A" w14:textId="77777777" w:rsidR="000B47EE" w:rsidRPr="00183D78" w:rsidRDefault="000B47EE" w:rsidP="00612B12">
            <w:pPr>
              <w:pStyle w:val="07Tabletext"/>
              <w:numPr>
                <w:ilvl w:val="0"/>
                <w:numId w:val="21"/>
              </w:numPr>
              <w:spacing w:before="60" w:after="60"/>
              <w:rPr>
                <w:rFonts w:ascii="Century Gothic" w:hAnsi="Century Gothic"/>
              </w:rPr>
            </w:pPr>
            <w:r w:rsidRPr="00183D78">
              <w:rPr>
                <w:rFonts w:ascii="Century Gothic" w:hAnsi="Century Gothic"/>
              </w:rPr>
              <w:t xml:space="preserve">Review and sign-off appropriate Management Information as a means of gaining assurance regarding the effectiveness of the investment proposition strategies against client risk appetites and tolerances; </w:t>
            </w:r>
          </w:p>
          <w:p w14:paraId="5CA6BA91" w14:textId="77777777" w:rsidR="000B47EE" w:rsidRPr="00183D78" w:rsidRDefault="000B47EE" w:rsidP="00612B12">
            <w:pPr>
              <w:pStyle w:val="07Tabletext"/>
              <w:numPr>
                <w:ilvl w:val="0"/>
                <w:numId w:val="21"/>
              </w:numPr>
              <w:spacing w:before="60" w:after="60"/>
              <w:rPr>
                <w:rFonts w:ascii="Century Gothic" w:hAnsi="Century Gothic"/>
              </w:rPr>
            </w:pPr>
            <w:r w:rsidRPr="00183D78">
              <w:rPr>
                <w:rFonts w:ascii="Century Gothic" w:hAnsi="Century Gothic"/>
              </w:rPr>
              <w:t xml:space="preserve">Review of relevant investment products and strategies to ensure the firm’s status (independent or restricted) is maintained. This may involve reviews of products, panels or other related elements of the firm’s investment strategy. </w:t>
            </w:r>
          </w:p>
          <w:p w14:paraId="03503EA5" w14:textId="77777777" w:rsidR="000B47EE" w:rsidRPr="00183D78" w:rsidRDefault="000B47EE" w:rsidP="00612B12">
            <w:pPr>
              <w:pStyle w:val="07Tabletext"/>
              <w:numPr>
                <w:ilvl w:val="0"/>
                <w:numId w:val="21"/>
              </w:numPr>
              <w:spacing w:before="60" w:after="60"/>
              <w:rPr>
                <w:rFonts w:ascii="Century Gothic" w:hAnsi="Century Gothic"/>
              </w:rPr>
            </w:pPr>
            <w:r w:rsidRPr="00183D78">
              <w:rPr>
                <w:rFonts w:ascii="Century Gothic" w:hAnsi="Century Gothic"/>
              </w:rPr>
              <w:t>Review of current list of investment products falling under the definition of retail investment product, as this may be updated from time to time.</w:t>
            </w:r>
          </w:p>
          <w:p w14:paraId="387FFDFC" w14:textId="77777777" w:rsidR="000B47EE" w:rsidRPr="00183D78" w:rsidRDefault="000B47EE" w:rsidP="00612B12">
            <w:pPr>
              <w:pStyle w:val="07Tabletext"/>
              <w:numPr>
                <w:ilvl w:val="0"/>
                <w:numId w:val="21"/>
              </w:numPr>
              <w:spacing w:before="60" w:after="60"/>
              <w:rPr>
                <w:rFonts w:ascii="Century Gothic" w:hAnsi="Century Gothic"/>
              </w:rPr>
            </w:pPr>
            <w:r w:rsidRPr="00183D78">
              <w:rPr>
                <w:rFonts w:ascii="Century Gothic" w:hAnsi="Century Gothic"/>
              </w:rPr>
              <w:t>Review and address instances of investment performance issues;</w:t>
            </w:r>
          </w:p>
          <w:p w14:paraId="213F6F50" w14:textId="77777777" w:rsidR="000B47EE" w:rsidRPr="00183D78" w:rsidRDefault="000B47EE" w:rsidP="00612B12">
            <w:pPr>
              <w:pStyle w:val="07Tabletext"/>
              <w:numPr>
                <w:ilvl w:val="0"/>
                <w:numId w:val="21"/>
              </w:numPr>
              <w:spacing w:before="60" w:after="60"/>
              <w:rPr>
                <w:rFonts w:ascii="Century Gothic" w:hAnsi="Century Gothic"/>
              </w:rPr>
            </w:pPr>
            <w:r w:rsidRPr="00183D78">
              <w:rPr>
                <w:rFonts w:ascii="Century Gothic" w:hAnsi="Century Gothic"/>
              </w:rPr>
              <w:t>Review and manage risks such as reviewing tax wrappers, CIPs platforms, underlying investment performance, market outlook, Adviser compliance to the investment proposition and service</w:t>
            </w:r>
          </w:p>
          <w:p w14:paraId="199E147A" w14:textId="77777777" w:rsidR="000B47EE" w:rsidRPr="00183D78" w:rsidRDefault="000B47EE" w:rsidP="00612B12">
            <w:pPr>
              <w:pStyle w:val="07Tabletext"/>
              <w:numPr>
                <w:ilvl w:val="0"/>
                <w:numId w:val="21"/>
              </w:numPr>
              <w:spacing w:before="60" w:after="60"/>
              <w:rPr>
                <w:rFonts w:ascii="Century Gothic" w:hAnsi="Century Gothic"/>
              </w:rPr>
            </w:pPr>
            <w:r w:rsidRPr="00183D78">
              <w:rPr>
                <w:rFonts w:ascii="Century Gothic" w:hAnsi="Century Gothic"/>
              </w:rPr>
              <w:t>Consider the impact of change, reviewing and agreeing product, marketing and other initiatives;</w:t>
            </w:r>
          </w:p>
          <w:p w14:paraId="60843993" w14:textId="77777777" w:rsidR="000B47EE" w:rsidRPr="00183D78" w:rsidRDefault="000B47EE" w:rsidP="00612B12">
            <w:pPr>
              <w:pStyle w:val="07Tabletext"/>
              <w:numPr>
                <w:ilvl w:val="0"/>
                <w:numId w:val="21"/>
              </w:numPr>
              <w:spacing w:before="60" w:after="60"/>
              <w:rPr>
                <w:rFonts w:ascii="Century Gothic" w:hAnsi="Century Gothic"/>
              </w:rPr>
            </w:pPr>
            <w:r w:rsidRPr="00183D78">
              <w:rPr>
                <w:rFonts w:ascii="Century Gothic" w:hAnsi="Century Gothic"/>
              </w:rPr>
              <w:lastRenderedPageBreak/>
              <w:t>Oversee the performance of Investment proposition procedures and compliance with those procedures</w:t>
            </w:r>
          </w:p>
          <w:p w14:paraId="4BA1B184" w14:textId="77777777" w:rsidR="000B47EE" w:rsidRPr="00183D78" w:rsidRDefault="000B47EE" w:rsidP="00612B12">
            <w:pPr>
              <w:pStyle w:val="07Tabletext"/>
              <w:numPr>
                <w:ilvl w:val="0"/>
                <w:numId w:val="21"/>
              </w:numPr>
              <w:spacing w:before="60" w:after="60"/>
              <w:rPr>
                <w:rFonts w:ascii="Century Gothic" w:eastAsia="Times New Roman" w:hAnsi="Century Gothic"/>
                <w:sz w:val="24"/>
                <w:szCs w:val="24"/>
              </w:rPr>
            </w:pPr>
            <w:r w:rsidRPr="00183D78">
              <w:rPr>
                <w:rFonts w:ascii="Century Gothic" w:hAnsi="Century Gothic"/>
              </w:rPr>
              <w:t>Progress to resolution Investment proposition issues that have a material impact on the business</w:t>
            </w:r>
          </w:p>
        </w:tc>
      </w:tr>
      <w:tr w:rsidR="000B47EE" w:rsidRPr="00183D78" w14:paraId="018B155F" w14:textId="77777777" w:rsidTr="00612B12">
        <w:tc>
          <w:tcPr>
            <w:tcW w:w="1702" w:type="dxa"/>
            <w:tcBorders>
              <w:top w:val="single" w:sz="4" w:space="0" w:color="4F565B"/>
              <w:left w:val="single" w:sz="4" w:space="0" w:color="4F565B"/>
              <w:bottom w:val="single" w:sz="4" w:space="0" w:color="4F565B"/>
              <w:right w:val="single" w:sz="4" w:space="0" w:color="4F565B"/>
            </w:tcBorders>
            <w:shd w:val="clear" w:color="auto" w:fill="15A9B2"/>
            <w:vAlign w:val="center"/>
          </w:tcPr>
          <w:p w14:paraId="1DFFD9C2" w14:textId="77777777" w:rsidR="000B47EE" w:rsidRPr="00584714" w:rsidRDefault="000B47EE" w:rsidP="00612B12">
            <w:pPr>
              <w:pStyle w:val="07Tabletext"/>
              <w:spacing w:before="60" w:after="60"/>
              <w:rPr>
                <w:rFonts w:ascii="Century Gothic" w:hAnsi="Century Gothic"/>
                <w:color w:val="FFFFFF" w:themeColor="background1"/>
              </w:rPr>
            </w:pPr>
            <w:r w:rsidRPr="00584714">
              <w:rPr>
                <w:rFonts w:ascii="Century Gothic" w:hAnsi="Century Gothic"/>
                <w:color w:val="FFFFFF" w:themeColor="background1"/>
              </w:rPr>
              <w:lastRenderedPageBreak/>
              <w:t>Agenda:</w:t>
            </w:r>
          </w:p>
        </w:tc>
        <w:tc>
          <w:tcPr>
            <w:tcW w:w="7654" w:type="dxa"/>
            <w:tcBorders>
              <w:top w:val="single" w:sz="4" w:space="0" w:color="4F565B"/>
              <w:left w:val="single" w:sz="4" w:space="0" w:color="4F565B"/>
              <w:bottom w:val="single" w:sz="4" w:space="0" w:color="4F565B"/>
              <w:right w:val="single" w:sz="4" w:space="0" w:color="4F565B"/>
            </w:tcBorders>
            <w:vAlign w:val="center"/>
          </w:tcPr>
          <w:p w14:paraId="321B99C9" w14:textId="77777777" w:rsidR="00DD49DE" w:rsidRPr="00DD49DE" w:rsidRDefault="00DD49DE" w:rsidP="00DD49DE">
            <w:pPr>
              <w:pStyle w:val="07Tabletext"/>
              <w:spacing w:before="60" w:after="60"/>
              <w:rPr>
                <w:rFonts w:ascii="Century Gothic" w:eastAsia="Times New Roman" w:hAnsi="Century Gothic"/>
                <w:sz w:val="24"/>
                <w:szCs w:val="24"/>
              </w:rPr>
            </w:pPr>
            <w:r>
              <w:rPr>
                <w:rFonts w:ascii="Century Gothic" w:hAnsi="Century Gothic"/>
              </w:rPr>
              <w:t>Broadly</w:t>
            </w:r>
          </w:p>
          <w:p w14:paraId="3E07AE6A" w14:textId="2684075F" w:rsidR="00DD49DE" w:rsidRPr="00DD49DE" w:rsidRDefault="000B47EE" w:rsidP="000B47EE">
            <w:pPr>
              <w:pStyle w:val="07Tabletext"/>
              <w:numPr>
                <w:ilvl w:val="0"/>
                <w:numId w:val="22"/>
              </w:numPr>
              <w:spacing w:before="60" w:after="60"/>
              <w:rPr>
                <w:rFonts w:ascii="Century Gothic" w:eastAsia="Times New Roman" w:hAnsi="Century Gothic"/>
                <w:sz w:val="24"/>
                <w:szCs w:val="24"/>
              </w:rPr>
            </w:pPr>
            <w:r w:rsidRPr="00183D78">
              <w:rPr>
                <w:rFonts w:ascii="Century Gothic" w:hAnsi="Century Gothic"/>
              </w:rPr>
              <w:t xml:space="preserve">Market overview </w:t>
            </w:r>
          </w:p>
          <w:p w14:paraId="7B51A49D" w14:textId="47C9E5D4" w:rsidR="000B47EE" w:rsidRPr="00183D78" w:rsidRDefault="00DD49DE" w:rsidP="000B47EE">
            <w:pPr>
              <w:pStyle w:val="07Tabletext"/>
              <w:numPr>
                <w:ilvl w:val="0"/>
                <w:numId w:val="22"/>
              </w:numPr>
              <w:spacing w:before="60" w:after="60"/>
              <w:rPr>
                <w:rFonts w:ascii="Century Gothic" w:eastAsia="Times New Roman" w:hAnsi="Century Gothic"/>
                <w:sz w:val="24"/>
                <w:szCs w:val="24"/>
              </w:rPr>
            </w:pPr>
            <w:r>
              <w:rPr>
                <w:rFonts w:ascii="Century Gothic" w:hAnsi="Century Gothic"/>
              </w:rPr>
              <w:t>F</w:t>
            </w:r>
            <w:r w:rsidR="000B47EE" w:rsidRPr="00183D78">
              <w:rPr>
                <w:rFonts w:ascii="Century Gothic" w:hAnsi="Century Gothic"/>
              </w:rPr>
              <w:t>und recommendations</w:t>
            </w:r>
            <w:r>
              <w:rPr>
                <w:rFonts w:ascii="Century Gothic" w:hAnsi="Century Gothic"/>
              </w:rPr>
              <w:t xml:space="preserve"> (switching)</w:t>
            </w:r>
          </w:p>
          <w:p w14:paraId="062523A2" w14:textId="77777777" w:rsidR="000B47EE" w:rsidRPr="00183D78" w:rsidRDefault="000B47EE" w:rsidP="000B47EE">
            <w:pPr>
              <w:pStyle w:val="07Tabletext"/>
              <w:numPr>
                <w:ilvl w:val="0"/>
                <w:numId w:val="22"/>
              </w:numPr>
              <w:spacing w:before="60" w:after="60"/>
              <w:rPr>
                <w:rFonts w:ascii="Century Gothic" w:hAnsi="Century Gothic"/>
              </w:rPr>
            </w:pPr>
            <w:r w:rsidRPr="00183D78">
              <w:rPr>
                <w:rFonts w:ascii="Century Gothic" w:hAnsi="Century Gothic"/>
              </w:rPr>
              <w:t xml:space="preserve">Review Regulatory Changes </w:t>
            </w:r>
          </w:p>
          <w:p w14:paraId="59D4B66C" w14:textId="77777777" w:rsidR="000B47EE" w:rsidRDefault="000B47EE" w:rsidP="000B47EE">
            <w:pPr>
              <w:pStyle w:val="07Tabletext"/>
              <w:numPr>
                <w:ilvl w:val="0"/>
                <w:numId w:val="22"/>
              </w:numPr>
              <w:spacing w:before="60" w:after="60"/>
              <w:rPr>
                <w:rFonts w:ascii="Century Gothic" w:hAnsi="Century Gothic"/>
              </w:rPr>
            </w:pPr>
            <w:r w:rsidRPr="00183D78">
              <w:rPr>
                <w:rFonts w:ascii="Century Gothic" w:hAnsi="Century Gothic"/>
              </w:rPr>
              <w:t xml:space="preserve">Process Changes </w:t>
            </w:r>
          </w:p>
          <w:p w14:paraId="0590DC0E" w14:textId="7445C281" w:rsidR="00DD49DE" w:rsidRPr="00183D78" w:rsidRDefault="00DD49DE" w:rsidP="000B47EE">
            <w:pPr>
              <w:pStyle w:val="07Tabletext"/>
              <w:numPr>
                <w:ilvl w:val="0"/>
                <w:numId w:val="22"/>
              </w:numPr>
              <w:spacing w:before="60" w:after="60"/>
              <w:rPr>
                <w:rFonts w:ascii="Century Gothic" w:hAnsi="Century Gothic"/>
              </w:rPr>
            </w:pPr>
            <w:r>
              <w:rPr>
                <w:rFonts w:ascii="Century Gothic" w:hAnsi="Century Gothic"/>
              </w:rPr>
              <w:t>Re-balancing</w:t>
            </w:r>
          </w:p>
          <w:p w14:paraId="50672C65" w14:textId="77777777" w:rsidR="000B47EE" w:rsidRPr="00183D78" w:rsidRDefault="000B47EE" w:rsidP="000B47EE">
            <w:pPr>
              <w:pStyle w:val="07Tabletext"/>
              <w:numPr>
                <w:ilvl w:val="0"/>
                <w:numId w:val="22"/>
              </w:numPr>
              <w:spacing w:before="60" w:after="60"/>
              <w:rPr>
                <w:rFonts w:ascii="Century Gothic" w:hAnsi="Century Gothic"/>
              </w:rPr>
            </w:pPr>
            <w:r w:rsidRPr="00183D78">
              <w:rPr>
                <w:rFonts w:ascii="Century Gothic" w:hAnsi="Century Gothic"/>
              </w:rPr>
              <w:t>Product and fund due diligence update</w:t>
            </w:r>
          </w:p>
          <w:p w14:paraId="3A5FA008" w14:textId="77777777" w:rsidR="000B47EE" w:rsidRPr="00183D78" w:rsidRDefault="000B47EE" w:rsidP="000B47EE">
            <w:pPr>
              <w:pStyle w:val="07Tabletext"/>
              <w:numPr>
                <w:ilvl w:val="0"/>
                <w:numId w:val="22"/>
              </w:numPr>
              <w:spacing w:before="60" w:after="60"/>
              <w:rPr>
                <w:rFonts w:ascii="Century Gothic" w:hAnsi="Century Gothic"/>
                <w:b/>
              </w:rPr>
            </w:pPr>
            <w:r w:rsidRPr="00183D78">
              <w:rPr>
                <w:rFonts w:ascii="Century Gothic" w:hAnsi="Century Gothic"/>
              </w:rPr>
              <w:t>AOB</w:t>
            </w:r>
          </w:p>
        </w:tc>
      </w:tr>
      <w:tr w:rsidR="000B47EE" w:rsidRPr="00183D78" w14:paraId="4A63D17F" w14:textId="77777777" w:rsidTr="00612B12">
        <w:tc>
          <w:tcPr>
            <w:tcW w:w="1702" w:type="dxa"/>
            <w:tcBorders>
              <w:top w:val="single" w:sz="4" w:space="0" w:color="4F565B"/>
              <w:left w:val="single" w:sz="4" w:space="0" w:color="4F565B"/>
              <w:bottom w:val="single" w:sz="4" w:space="0" w:color="4F565B"/>
              <w:right w:val="single" w:sz="4" w:space="0" w:color="4F565B"/>
            </w:tcBorders>
            <w:shd w:val="clear" w:color="auto" w:fill="15A9B2"/>
            <w:vAlign w:val="center"/>
          </w:tcPr>
          <w:p w14:paraId="4FBF9568" w14:textId="0D3A5CB6" w:rsidR="000B47EE" w:rsidRPr="00584714" w:rsidRDefault="000B47EE" w:rsidP="00612B12">
            <w:pPr>
              <w:pStyle w:val="07Tabletext"/>
              <w:spacing w:before="60" w:after="60"/>
              <w:rPr>
                <w:rFonts w:ascii="Century Gothic" w:hAnsi="Century Gothic"/>
                <w:color w:val="FFFFFF" w:themeColor="background1"/>
              </w:rPr>
            </w:pPr>
            <w:r w:rsidRPr="00584714">
              <w:rPr>
                <w:rFonts w:ascii="Century Gothic" w:hAnsi="Century Gothic"/>
                <w:color w:val="FFFFFF" w:themeColor="background1"/>
              </w:rPr>
              <w:t>Document</w:t>
            </w:r>
            <w:r w:rsidR="00DD49DE">
              <w:rPr>
                <w:rFonts w:ascii="Century Gothic" w:hAnsi="Century Gothic"/>
                <w:color w:val="FFFFFF" w:themeColor="background1"/>
              </w:rPr>
              <w:t>s</w:t>
            </w:r>
            <w:r w:rsidRPr="00584714">
              <w:rPr>
                <w:rFonts w:ascii="Century Gothic" w:hAnsi="Century Gothic"/>
                <w:color w:val="FFFFFF" w:themeColor="background1"/>
              </w:rPr>
              <w:t>:</w:t>
            </w:r>
          </w:p>
        </w:tc>
        <w:tc>
          <w:tcPr>
            <w:tcW w:w="7654" w:type="dxa"/>
            <w:tcBorders>
              <w:top w:val="single" w:sz="4" w:space="0" w:color="4F565B"/>
              <w:left w:val="single" w:sz="4" w:space="0" w:color="4F565B"/>
              <w:bottom w:val="single" w:sz="4" w:space="0" w:color="4F565B"/>
              <w:right w:val="single" w:sz="4" w:space="0" w:color="4F565B"/>
            </w:tcBorders>
            <w:vAlign w:val="center"/>
          </w:tcPr>
          <w:p w14:paraId="03D3A3F5" w14:textId="77777777" w:rsidR="000B47EE" w:rsidRPr="00183D78" w:rsidRDefault="000B47EE" w:rsidP="00612B12">
            <w:pPr>
              <w:pStyle w:val="07Tabletext"/>
              <w:spacing w:before="60" w:after="60"/>
              <w:rPr>
                <w:rFonts w:ascii="Century Gothic" w:eastAsia="Times New Roman" w:hAnsi="Century Gothic"/>
                <w:sz w:val="24"/>
                <w:szCs w:val="24"/>
              </w:rPr>
            </w:pPr>
            <w:r w:rsidRPr="00183D78">
              <w:rPr>
                <w:rFonts w:ascii="Century Gothic" w:hAnsi="Century Gothic"/>
              </w:rPr>
              <w:t>The following documents will form the basis of the standing agenda:</w:t>
            </w:r>
          </w:p>
          <w:p w14:paraId="69459F88" w14:textId="77777777" w:rsidR="000B47EE" w:rsidRPr="00183D78" w:rsidRDefault="000B47EE" w:rsidP="000B47EE">
            <w:pPr>
              <w:pStyle w:val="07Tabletext"/>
              <w:numPr>
                <w:ilvl w:val="0"/>
                <w:numId w:val="23"/>
              </w:numPr>
              <w:spacing w:before="60" w:after="60"/>
              <w:rPr>
                <w:rFonts w:ascii="Century Gothic" w:hAnsi="Century Gothic"/>
              </w:rPr>
            </w:pPr>
            <w:r w:rsidRPr="00183D78">
              <w:rPr>
                <w:rFonts w:ascii="Century Gothic" w:hAnsi="Century Gothic"/>
              </w:rPr>
              <w:t>Previous meeting minutes and action point list</w:t>
            </w:r>
          </w:p>
          <w:p w14:paraId="2F0600B8" w14:textId="77777777" w:rsidR="000B47EE" w:rsidRPr="00183D78" w:rsidRDefault="000B47EE" w:rsidP="000B47EE">
            <w:pPr>
              <w:pStyle w:val="07Tabletext"/>
              <w:numPr>
                <w:ilvl w:val="0"/>
                <w:numId w:val="23"/>
              </w:numPr>
              <w:spacing w:before="60" w:after="60"/>
              <w:rPr>
                <w:rFonts w:ascii="Century Gothic" w:hAnsi="Century Gothic"/>
              </w:rPr>
            </w:pPr>
            <w:r w:rsidRPr="00183D78">
              <w:rPr>
                <w:rFonts w:ascii="Century Gothic" w:hAnsi="Century Gothic"/>
              </w:rPr>
              <w:t>Board Meeting minutes</w:t>
            </w:r>
          </w:p>
          <w:p w14:paraId="1456644B" w14:textId="77777777" w:rsidR="000B47EE" w:rsidRPr="00183D78" w:rsidRDefault="000B47EE" w:rsidP="000B47EE">
            <w:pPr>
              <w:pStyle w:val="07Tabletext"/>
              <w:numPr>
                <w:ilvl w:val="0"/>
                <w:numId w:val="23"/>
              </w:numPr>
              <w:spacing w:before="60" w:after="60"/>
              <w:rPr>
                <w:rFonts w:ascii="Century Gothic" w:hAnsi="Century Gothic"/>
              </w:rPr>
            </w:pPr>
            <w:r w:rsidRPr="00183D78">
              <w:rPr>
                <w:rFonts w:ascii="Century Gothic" w:hAnsi="Century Gothic"/>
              </w:rPr>
              <w:t>Investment proposition analysis reports</w:t>
            </w:r>
          </w:p>
          <w:p w14:paraId="515255BB" w14:textId="77777777" w:rsidR="000B47EE" w:rsidRPr="00183D78" w:rsidRDefault="000B47EE" w:rsidP="000B47EE">
            <w:pPr>
              <w:pStyle w:val="07Tabletext"/>
              <w:numPr>
                <w:ilvl w:val="0"/>
                <w:numId w:val="23"/>
              </w:numPr>
              <w:spacing w:before="60" w:after="60"/>
              <w:rPr>
                <w:rFonts w:ascii="Century Gothic" w:hAnsi="Century Gothic"/>
              </w:rPr>
            </w:pPr>
            <w:r w:rsidRPr="00183D78">
              <w:rPr>
                <w:rFonts w:ascii="Century Gothic" w:hAnsi="Century Gothic"/>
              </w:rPr>
              <w:t>Compliance reports &amp; outstanding actions</w:t>
            </w:r>
          </w:p>
          <w:p w14:paraId="5EAFC185" w14:textId="77777777" w:rsidR="000B47EE" w:rsidRPr="00183D78" w:rsidRDefault="000B47EE" w:rsidP="000B47EE">
            <w:pPr>
              <w:pStyle w:val="07Tabletext"/>
              <w:numPr>
                <w:ilvl w:val="0"/>
                <w:numId w:val="23"/>
              </w:numPr>
              <w:spacing w:before="60" w:after="60"/>
              <w:rPr>
                <w:rFonts w:ascii="Century Gothic" w:hAnsi="Century Gothic"/>
              </w:rPr>
            </w:pPr>
            <w:r w:rsidRPr="00183D78">
              <w:rPr>
                <w:rFonts w:ascii="Century Gothic" w:hAnsi="Century Gothic"/>
              </w:rPr>
              <w:t>Marketing reports</w:t>
            </w:r>
          </w:p>
          <w:p w14:paraId="179FFC50" w14:textId="77777777" w:rsidR="000B47EE" w:rsidRPr="00183D78" w:rsidRDefault="000B47EE" w:rsidP="000B47EE">
            <w:pPr>
              <w:pStyle w:val="07Tabletext"/>
              <w:numPr>
                <w:ilvl w:val="0"/>
                <w:numId w:val="23"/>
              </w:numPr>
              <w:spacing w:before="60" w:after="60"/>
              <w:rPr>
                <w:rFonts w:ascii="Century Gothic" w:hAnsi="Century Gothic"/>
              </w:rPr>
            </w:pPr>
            <w:r w:rsidRPr="00183D78">
              <w:rPr>
                <w:rFonts w:ascii="Century Gothic" w:hAnsi="Century Gothic"/>
              </w:rPr>
              <w:t>Internal sample checking monitoring programme</w:t>
            </w:r>
          </w:p>
          <w:p w14:paraId="6F9F393D" w14:textId="77777777" w:rsidR="000B47EE" w:rsidRPr="00183D78" w:rsidRDefault="000B47EE" w:rsidP="000B47EE">
            <w:pPr>
              <w:pStyle w:val="07Tabletext"/>
              <w:numPr>
                <w:ilvl w:val="0"/>
                <w:numId w:val="23"/>
              </w:numPr>
              <w:spacing w:before="60" w:after="60"/>
              <w:rPr>
                <w:rFonts w:ascii="Century Gothic" w:hAnsi="Century Gothic"/>
              </w:rPr>
            </w:pPr>
            <w:r w:rsidRPr="00183D78">
              <w:rPr>
                <w:rFonts w:ascii="Century Gothic" w:hAnsi="Century Gothic"/>
              </w:rPr>
              <w:t>Feedback from the team representatives</w:t>
            </w:r>
          </w:p>
        </w:tc>
      </w:tr>
      <w:tr w:rsidR="000B47EE" w:rsidRPr="00183D78" w14:paraId="51D8110E" w14:textId="77777777" w:rsidTr="00612B12">
        <w:tc>
          <w:tcPr>
            <w:tcW w:w="1702" w:type="dxa"/>
            <w:tcBorders>
              <w:top w:val="single" w:sz="4" w:space="0" w:color="4F565B"/>
              <w:left w:val="single" w:sz="4" w:space="0" w:color="4F565B"/>
              <w:bottom w:val="single" w:sz="4" w:space="0" w:color="4F565B"/>
              <w:right w:val="single" w:sz="4" w:space="0" w:color="4F565B"/>
            </w:tcBorders>
            <w:shd w:val="clear" w:color="auto" w:fill="15A9B2"/>
            <w:vAlign w:val="center"/>
          </w:tcPr>
          <w:p w14:paraId="7268C42F" w14:textId="77777777" w:rsidR="000B47EE" w:rsidRPr="00584714" w:rsidRDefault="000B47EE" w:rsidP="00612B12">
            <w:pPr>
              <w:pStyle w:val="07Tabletext"/>
              <w:spacing w:before="60" w:after="60"/>
              <w:rPr>
                <w:rFonts w:ascii="Century Gothic" w:hAnsi="Century Gothic"/>
                <w:color w:val="FFFFFF" w:themeColor="background1"/>
              </w:rPr>
            </w:pPr>
            <w:r w:rsidRPr="00584714">
              <w:rPr>
                <w:rFonts w:ascii="Century Gothic" w:hAnsi="Century Gothic"/>
                <w:color w:val="FFFFFF" w:themeColor="background1"/>
              </w:rPr>
              <w:t>Distribution list:</w:t>
            </w:r>
          </w:p>
        </w:tc>
        <w:tc>
          <w:tcPr>
            <w:tcW w:w="7654" w:type="dxa"/>
            <w:tcBorders>
              <w:top w:val="single" w:sz="4" w:space="0" w:color="4F565B"/>
              <w:left w:val="single" w:sz="4" w:space="0" w:color="4F565B"/>
              <w:bottom w:val="single" w:sz="4" w:space="0" w:color="4F565B"/>
              <w:right w:val="single" w:sz="4" w:space="0" w:color="4F565B"/>
            </w:tcBorders>
            <w:vAlign w:val="center"/>
          </w:tcPr>
          <w:p w14:paraId="383B311E" w14:textId="77777777" w:rsidR="000B47EE" w:rsidRPr="00183D78" w:rsidRDefault="000B47EE" w:rsidP="00612B12">
            <w:pPr>
              <w:pStyle w:val="07Tabletext"/>
              <w:spacing w:before="60" w:after="60"/>
              <w:rPr>
                <w:rFonts w:ascii="Century Gothic" w:hAnsi="Century Gothic"/>
              </w:rPr>
            </w:pPr>
          </w:p>
        </w:tc>
      </w:tr>
    </w:tbl>
    <w:p w14:paraId="30D18BEC" w14:textId="55160BC5" w:rsidR="003622CC" w:rsidRDefault="003622CC" w:rsidP="00037062">
      <w:pPr>
        <w:spacing w:line="360" w:lineRule="auto"/>
        <w:jc w:val="both"/>
        <w:rPr>
          <w:rFonts w:ascii="Century Gothic" w:hAnsi="Century Gothic"/>
        </w:rPr>
      </w:pPr>
    </w:p>
    <w:p w14:paraId="49CE5DE1" w14:textId="0CF46E5D" w:rsidR="00971F0E" w:rsidRPr="00971F0E" w:rsidRDefault="00971F0E" w:rsidP="00971F0E">
      <w:pPr>
        <w:rPr>
          <w:rFonts w:ascii="Century Gothic" w:hAnsi="Century Gothic"/>
        </w:rPr>
      </w:pPr>
    </w:p>
    <w:p w14:paraId="183A8F4C" w14:textId="19982237" w:rsidR="00971F0E" w:rsidRPr="00971F0E" w:rsidRDefault="00971F0E" w:rsidP="00971F0E">
      <w:pPr>
        <w:rPr>
          <w:rFonts w:ascii="Century Gothic" w:hAnsi="Century Gothic"/>
        </w:rPr>
      </w:pPr>
    </w:p>
    <w:p w14:paraId="7C655605" w14:textId="56A1E6F1" w:rsidR="00971F0E" w:rsidRPr="00971F0E" w:rsidRDefault="00971F0E" w:rsidP="00971F0E">
      <w:pPr>
        <w:rPr>
          <w:rFonts w:ascii="Century Gothic" w:hAnsi="Century Gothic"/>
        </w:rPr>
      </w:pPr>
    </w:p>
    <w:p w14:paraId="1C257F66" w14:textId="65952958" w:rsidR="00971F0E" w:rsidRPr="00971F0E" w:rsidRDefault="00971F0E" w:rsidP="00971F0E">
      <w:pPr>
        <w:rPr>
          <w:rFonts w:ascii="Century Gothic" w:hAnsi="Century Gothic"/>
        </w:rPr>
      </w:pPr>
    </w:p>
    <w:p w14:paraId="26600523" w14:textId="4CB1E655" w:rsidR="00971F0E" w:rsidRDefault="00971F0E" w:rsidP="00971F0E">
      <w:pPr>
        <w:rPr>
          <w:rFonts w:ascii="Century Gothic" w:hAnsi="Century Gothic"/>
        </w:rPr>
      </w:pPr>
    </w:p>
    <w:p w14:paraId="5FDE23D1" w14:textId="6810FA11" w:rsidR="00971F0E" w:rsidRDefault="00971F0E" w:rsidP="00971F0E">
      <w:pPr>
        <w:rPr>
          <w:rFonts w:ascii="Century Gothic" w:hAnsi="Century Gothic"/>
        </w:rPr>
      </w:pPr>
    </w:p>
    <w:p w14:paraId="6E5642A7" w14:textId="7E47F0C2" w:rsidR="00971F0E" w:rsidRPr="00971F0E" w:rsidRDefault="00971F0E" w:rsidP="00971F0E">
      <w:pPr>
        <w:tabs>
          <w:tab w:val="left" w:pos="1560"/>
        </w:tabs>
        <w:rPr>
          <w:rFonts w:ascii="Century Gothic" w:hAnsi="Century Gothic"/>
        </w:rPr>
      </w:pPr>
      <w:r>
        <w:rPr>
          <w:rFonts w:ascii="Century Gothic" w:hAnsi="Century Gothic"/>
        </w:rPr>
        <w:tab/>
      </w:r>
    </w:p>
    <w:sectPr w:rsidR="00971F0E" w:rsidRPr="00971F0E" w:rsidSect="006C5497">
      <w:headerReference w:type="even" r:id="rId7"/>
      <w:headerReference w:type="default" r:id="rId8"/>
      <w:footerReference w:type="even" r:id="rId9"/>
      <w:footerReference w:type="default" r:id="rId10"/>
      <w:headerReference w:type="first" r:id="rId11"/>
      <w:footerReference w:type="first" r:id="rId12"/>
      <w:pgSz w:w="11906" w:h="16838"/>
      <w:pgMar w:top="709"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967F9" w14:textId="77777777" w:rsidR="00AD6284" w:rsidRDefault="00AD6284" w:rsidP="00037062">
      <w:pPr>
        <w:spacing w:after="0" w:line="240" w:lineRule="auto"/>
      </w:pPr>
      <w:r>
        <w:separator/>
      </w:r>
    </w:p>
  </w:endnote>
  <w:endnote w:type="continuationSeparator" w:id="0">
    <w:p w14:paraId="53EB9581" w14:textId="77777777" w:rsidR="00AD6284" w:rsidRDefault="00AD6284" w:rsidP="0003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C5430" w14:textId="77777777" w:rsidR="006B0D48" w:rsidRDefault="006B0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3CEA" w14:textId="77777777" w:rsidR="006B0D48" w:rsidRPr="004D3DEF" w:rsidRDefault="006B0D48" w:rsidP="006B0D48">
    <w:pPr>
      <w:pStyle w:val="Footer"/>
      <w:rPr>
        <w:rFonts w:ascii="Century Gothic" w:hAnsi="Century Gothic"/>
        <w:sz w:val="18"/>
        <w:szCs w:val="18"/>
      </w:rPr>
    </w:pPr>
    <w:r>
      <w:rPr>
        <w:rFonts w:ascii="Century Gothic" w:hAnsi="Century Gothic"/>
        <w:sz w:val="18"/>
        <w:szCs w:val="18"/>
      </w:rPr>
      <w:t>Essentials:</w:t>
    </w:r>
  </w:p>
  <w:p w14:paraId="06CDDFFC" w14:textId="53FA7DDF" w:rsidR="00A972A2" w:rsidRPr="006B0D48" w:rsidRDefault="006B0D48" w:rsidP="006B0D48">
    <w:pPr>
      <w:pStyle w:val="Footer"/>
      <w:tabs>
        <w:tab w:val="clear" w:pos="4320"/>
        <w:tab w:val="clear" w:pos="8640"/>
      </w:tabs>
      <w:rPr>
        <w:rFonts w:ascii="Century Gothic" w:hAnsi="Century Gothic"/>
        <w:sz w:val="18"/>
        <w:szCs w:val="18"/>
      </w:rPr>
    </w:pPr>
    <w:r>
      <w:rPr>
        <w:rFonts w:ascii="Century Gothic" w:hAnsi="Century Gothic"/>
        <w:sz w:val="18"/>
        <w:szCs w:val="18"/>
      </w:rPr>
      <w:t>ESS30102023</w:t>
    </w:r>
    <w:r w:rsidRPr="004D3DEF">
      <w:rPr>
        <w:rFonts w:ascii="Century Gothic" w:hAnsi="Century Gothic"/>
        <w:sz w:val="18"/>
        <w:szCs w:val="18"/>
      </w:rPr>
      <w:t xml:space="preserve"> </w:t>
    </w:r>
    <w:r>
      <w:rPr>
        <w:rFonts w:ascii="Century Gothic" w:hAnsi="Century Gothic"/>
        <w:sz w:val="18"/>
        <w:szCs w:val="18"/>
      </w:rPr>
      <w:t>IMC Terms of Reference</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4D3DEF">
      <w:rPr>
        <w:rFonts w:ascii="Century Gothic" w:hAnsi="Century Gothic"/>
        <w:sz w:val="18"/>
        <w:szCs w:val="18"/>
      </w:rPr>
      <w:tab/>
    </w:r>
    <w:r w:rsidRPr="004D3DEF">
      <w:rPr>
        <w:rFonts w:ascii="Century Gothic" w:hAnsi="Century Gothic"/>
        <w:sz w:val="18"/>
        <w:szCs w:val="18"/>
      </w:rPr>
      <w:tab/>
    </w:r>
    <w:r>
      <w:rPr>
        <w:rFonts w:ascii="Century Gothic" w:hAnsi="Century Gothic"/>
        <w:sz w:val="18"/>
        <w:szCs w:val="18"/>
      </w:rPr>
      <w:tab/>
    </w:r>
    <w:r w:rsidRPr="004D3DEF">
      <w:rPr>
        <w:rFonts w:ascii="Century Gothic" w:hAnsi="Century Gothic"/>
        <w:sz w:val="18"/>
        <w:szCs w:val="18"/>
      </w:rPr>
      <w:t xml:space="preserve">Page </w:t>
    </w:r>
    <w:r w:rsidRPr="004D3DEF">
      <w:rPr>
        <w:rStyle w:val="PageNumber"/>
        <w:rFonts w:ascii="Century Gothic" w:hAnsi="Century Gothic"/>
        <w:sz w:val="18"/>
        <w:szCs w:val="18"/>
      </w:rPr>
      <w:fldChar w:fldCharType="begin"/>
    </w:r>
    <w:r w:rsidRPr="004D3DEF">
      <w:rPr>
        <w:rStyle w:val="PageNumber"/>
        <w:rFonts w:ascii="Century Gothic" w:hAnsi="Century Gothic"/>
        <w:sz w:val="18"/>
        <w:szCs w:val="18"/>
      </w:rPr>
      <w:instrText xml:space="preserve"> PAGE </w:instrText>
    </w:r>
    <w:r w:rsidRPr="004D3DEF">
      <w:rPr>
        <w:rStyle w:val="PageNumber"/>
        <w:rFonts w:ascii="Century Gothic" w:hAnsi="Century Gothic"/>
        <w:sz w:val="18"/>
        <w:szCs w:val="18"/>
      </w:rPr>
      <w:fldChar w:fldCharType="separate"/>
    </w:r>
    <w:r>
      <w:rPr>
        <w:rStyle w:val="PageNumber"/>
        <w:rFonts w:ascii="Century Gothic" w:hAnsi="Century Gothic"/>
        <w:sz w:val="18"/>
        <w:szCs w:val="18"/>
      </w:rPr>
      <w:t>1</w:t>
    </w:r>
    <w:r w:rsidRPr="004D3DEF">
      <w:rPr>
        <w:rStyle w:val="PageNumber"/>
        <w:rFonts w:ascii="Century Gothic" w:hAnsi="Century Gothic"/>
        <w:sz w:val="18"/>
        <w:szCs w:val="18"/>
      </w:rPr>
      <w:fldChar w:fldCharType="end"/>
    </w:r>
    <w:r w:rsidRPr="004D3DEF">
      <w:rPr>
        <w:rStyle w:val="PageNumber"/>
        <w:rFonts w:ascii="Century Gothic" w:hAnsi="Century Gothic"/>
        <w:sz w:val="18"/>
        <w:szCs w:val="18"/>
      </w:rPr>
      <w:t xml:space="preserve"> of </w:t>
    </w:r>
    <w:r>
      <w:rPr>
        <w:rStyle w:val="PageNumber"/>
        <w:rFonts w:ascii="Century Gothic" w:hAnsi="Century Gothic"/>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3667" w14:textId="70D8E2C5" w:rsidR="00A972A2" w:rsidRPr="004D3DEF" w:rsidRDefault="006B0D48" w:rsidP="00A972A2">
    <w:pPr>
      <w:pStyle w:val="Footer"/>
      <w:rPr>
        <w:rFonts w:ascii="Century Gothic" w:hAnsi="Century Gothic"/>
        <w:sz w:val="18"/>
        <w:szCs w:val="18"/>
      </w:rPr>
    </w:pPr>
    <w:r>
      <w:rPr>
        <w:rFonts w:ascii="Century Gothic" w:hAnsi="Century Gothic"/>
        <w:sz w:val="18"/>
        <w:szCs w:val="18"/>
      </w:rPr>
      <w:t>Essentials:</w:t>
    </w:r>
  </w:p>
  <w:p w14:paraId="32EEEBD9" w14:textId="151521D9" w:rsidR="00A972A2" w:rsidRPr="00A972A2" w:rsidRDefault="006B0D48" w:rsidP="00A972A2">
    <w:pPr>
      <w:pStyle w:val="Footer"/>
      <w:tabs>
        <w:tab w:val="clear" w:pos="4320"/>
        <w:tab w:val="clear" w:pos="8640"/>
      </w:tabs>
      <w:rPr>
        <w:rFonts w:ascii="Century Gothic" w:hAnsi="Century Gothic"/>
        <w:sz w:val="18"/>
        <w:szCs w:val="18"/>
      </w:rPr>
    </w:pPr>
    <w:r>
      <w:rPr>
        <w:rFonts w:ascii="Century Gothic" w:hAnsi="Century Gothic"/>
        <w:sz w:val="18"/>
        <w:szCs w:val="18"/>
      </w:rPr>
      <w:t>ESS</w:t>
    </w:r>
    <w:r w:rsidR="000C43B9">
      <w:rPr>
        <w:rFonts w:ascii="Century Gothic" w:hAnsi="Century Gothic"/>
        <w:sz w:val="18"/>
        <w:szCs w:val="18"/>
      </w:rPr>
      <w:t>3010</w:t>
    </w:r>
    <w:r w:rsidR="00971F0E">
      <w:rPr>
        <w:rFonts w:ascii="Century Gothic" w:hAnsi="Century Gothic"/>
        <w:sz w:val="18"/>
        <w:szCs w:val="18"/>
      </w:rPr>
      <w:t>2023</w:t>
    </w:r>
    <w:r w:rsidR="00A972A2" w:rsidRPr="004D3DEF">
      <w:rPr>
        <w:rFonts w:ascii="Century Gothic" w:hAnsi="Century Gothic"/>
        <w:sz w:val="18"/>
        <w:szCs w:val="18"/>
      </w:rPr>
      <w:t xml:space="preserve"> </w:t>
    </w:r>
    <w:r w:rsidR="000B47EE">
      <w:rPr>
        <w:rFonts w:ascii="Century Gothic" w:hAnsi="Century Gothic"/>
        <w:sz w:val="18"/>
        <w:szCs w:val="18"/>
      </w:rPr>
      <w:t>IMC Terms of Reference</w:t>
    </w:r>
    <w:r w:rsidR="000B47EE">
      <w:rPr>
        <w:rFonts w:ascii="Century Gothic" w:hAnsi="Century Gothic"/>
        <w:sz w:val="18"/>
        <w:szCs w:val="18"/>
      </w:rPr>
      <w:tab/>
    </w:r>
    <w:r w:rsidR="00A972A2">
      <w:rPr>
        <w:rFonts w:ascii="Century Gothic" w:hAnsi="Century Gothic"/>
        <w:sz w:val="18"/>
        <w:szCs w:val="18"/>
      </w:rPr>
      <w:tab/>
    </w:r>
    <w:r w:rsidR="00A972A2">
      <w:rPr>
        <w:rFonts w:ascii="Century Gothic" w:hAnsi="Century Gothic"/>
        <w:sz w:val="18"/>
        <w:szCs w:val="18"/>
      </w:rPr>
      <w:tab/>
    </w:r>
    <w:r w:rsidR="00A972A2">
      <w:rPr>
        <w:rFonts w:ascii="Century Gothic" w:hAnsi="Century Gothic"/>
        <w:sz w:val="18"/>
        <w:szCs w:val="18"/>
      </w:rPr>
      <w:tab/>
    </w:r>
    <w:r w:rsidR="00A972A2" w:rsidRPr="004D3DEF">
      <w:rPr>
        <w:rFonts w:ascii="Century Gothic" w:hAnsi="Century Gothic"/>
        <w:sz w:val="18"/>
        <w:szCs w:val="18"/>
      </w:rPr>
      <w:tab/>
    </w:r>
    <w:r w:rsidR="00A972A2" w:rsidRPr="004D3DEF">
      <w:rPr>
        <w:rFonts w:ascii="Century Gothic" w:hAnsi="Century Gothic"/>
        <w:sz w:val="18"/>
        <w:szCs w:val="18"/>
      </w:rPr>
      <w:tab/>
    </w:r>
    <w:r w:rsidR="00A972A2">
      <w:rPr>
        <w:rFonts w:ascii="Century Gothic" w:hAnsi="Century Gothic"/>
        <w:sz w:val="18"/>
        <w:szCs w:val="18"/>
      </w:rPr>
      <w:tab/>
    </w:r>
    <w:r w:rsidR="00A972A2" w:rsidRPr="004D3DEF">
      <w:rPr>
        <w:rFonts w:ascii="Century Gothic" w:hAnsi="Century Gothic"/>
        <w:sz w:val="18"/>
        <w:szCs w:val="18"/>
      </w:rPr>
      <w:t xml:space="preserve">Page </w:t>
    </w:r>
    <w:r w:rsidR="00A972A2" w:rsidRPr="004D3DEF">
      <w:rPr>
        <w:rStyle w:val="PageNumber"/>
        <w:rFonts w:ascii="Century Gothic" w:hAnsi="Century Gothic"/>
        <w:sz w:val="18"/>
        <w:szCs w:val="18"/>
      </w:rPr>
      <w:fldChar w:fldCharType="begin"/>
    </w:r>
    <w:r w:rsidR="00A972A2" w:rsidRPr="004D3DEF">
      <w:rPr>
        <w:rStyle w:val="PageNumber"/>
        <w:rFonts w:ascii="Century Gothic" w:hAnsi="Century Gothic"/>
        <w:sz w:val="18"/>
        <w:szCs w:val="18"/>
      </w:rPr>
      <w:instrText xml:space="preserve"> PAGE </w:instrText>
    </w:r>
    <w:r w:rsidR="00A972A2" w:rsidRPr="004D3DEF">
      <w:rPr>
        <w:rStyle w:val="PageNumber"/>
        <w:rFonts w:ascii="Century Gothic" w:hAnsi="Century Gothic"/>
        <w:sz w:val="18"/>
        <w:szCs w:val="18"/>
      </w:rPr>
      <w:fldChar w:fldCharType="separate"/>
    </w:r>
    <w:r w:rsidR="000B47EE">
      <w:rPr>
        <w:rStyle w:val="PageNumber"/>
        <w:rFonts w:ascii="Century Gothic" w:hAnsi="Century Gothic"/>
        <w:noProof/>
        <w:sz w:val="18"/>
        <w:szCs w:val="18"/>
      </w:rPr>
      <w:t>1</w:t>
    </w:r>
    <w:r w:rsidR="00A972A2" w:rsidRPr="004D3DEF">
      <w:rPr>
        <w:rStyle w:val="PageNumber"/>
        <w:rFonts w:ascii="Century Gothic" w:hAnsi="Century Gothic"/>
        <w:sz w:val="18"/>
        <w:szCs w:val="18"/>
      </w:rPr>
      <w:fldChar w:fldCharType="end"/>
    </w:r>
    <w:r w:rsidR="00A972A2" w:rsidRPr="004D3DEF">
      <w:rPr>
        <w:rStyle w:val="PageNumber"/>
        <w:rFonts w:ascii="Century Gothic" w:hAnsi="Century Gothic"/>
        <w:sz w:val="18"/>
        <w:szCs w:val="18"/>
      </w:rPr>
      <w:t xml:space="preserve"> of </w:t>
    </w:r>
    <w:r w:rsidR="000B47EE">
      <w:rPr>
        <w:rStyle w:val="PageNumber"/>
        <w:rFonts w:ascii="Century Gothic" w:hAnsi="Century Gothic"/>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49E44" w14:textId="77777777" w:rsidR="00AD6284" w:rsidRDefault="00AD6284" w:rsidP="00037062">
      <w:pPr>
        <w:spacing w:after="0" w:line="240" w:lineRule="auto"/>
      </w:pPr>
      <w:r>
        <w:separator/>
      </w:r>
    </w:p>
  </w:footnote>
  <w:footnote w:type="continuationSeparator" w:id="0">
    <w:p w14:paraId="60FC922C" w14:textId="77777777" w:rsidR="00AD6284" w:rsidRDefault="00AD6284" w:rsidP="00037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16FA" w14:textId="77777777" w:rsidR="006B0D48" w:rsidRDefault="006B0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0A0" w14:textId="77777777" w:rsidR="006B0D48" w:rsidRDefault="006B0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DEDC" w14:textId="353DFBF7" w:rsidR="00037062" w:rsidRDefault="006B0D48" w:rsidP="00037062">
    <w:pPr>
      <w:pStyle w:val="Header"/>
      <w:shd w:val="clear" w:color="auto" w:fill="15A9B2"/>
    </w:pPr>
    <w:r>
      <w:rPr>
        <w:rFonts w:ascii="Century Gothic" w:hAnsi="Century Gothic"/>
        <w:b/>
        <w:color w:val="FFFFFF" w:themeColor="background1"/>
        <w:sz w:val="32"/>
        <w:szCs w:val="32"/>
      </w:rPr>
      <w:t>Essentials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4448"/>
    <w:multiLevelType w:val="hybridMultilevel"/>
    <w:tmpl w:val="971A3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16956"/>
    <w:multiLevelType w:val="hybridMultilevel"/>
    <w:tmpl w:val="939A0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522040"/>
    <w:multiLevelType w:val="hybridMultilevel"/>
    <w:tmpl w:val="DD386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C41F6"/>
    <w:multiLevelType w:val="hybridMultilevel"/>
    <w:tmpl w:val="9990AF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D283D"/>
    <w:multiLevelType w:val="hybridMultilevel"/>
    <w:tmpl w:val="CFC8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F1EA2"/>
    <w:multiLevelType w:val="hybridMultilevel"/>
    <w:tmpl w:val="94285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D174A0"/>
    <w:multiLevelType w:val="hybridMultilevel"/>
    <w:tmpl w:val="DA2A0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B479C2"/>
    <w:multiLevelType w:val="hybridMultilevel"/>
    <w:tmpl w:val="70AAA1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2D0878"/>
    <w:multiLevelType w:val="hybridMultilevel"/>
    <w:tmpl w:val="3112C6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F62AE9"/>
    <w:multiLevelType w:val="hybridMultilevel"/>
    <w:tmpl w:val="D9D8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222AB"/>
    <w:multiLevelType w:val="hybridMultilevel"/>
    <w:tmpl w:val="8B3C2038"/>
    <w:lvl w:ilvl="0" w:tplc="735E54D4">
      <w:start w:val="1"/>
      <w:numFmt w:val="bullet"/>
      <w:lvlText w:val=""/>
      <w:lvlJc w:val="left"/>
      <w:pPr>
        <w:ind w:left="360" w:hanging="360"/>
      </w:pPr>
      <w:rPr>
        <w:rFonts w:ascii="Symbol" w:hAnsi="Symbo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B26647"/>
    <w:multiLevelType w:val="hybridMultilevel"/>
    <w:tmpl w:val="EC1C94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351E1B"/>
    <w:multiLevelType w:val="hybridMultilevel"/>
    <w:tmpl w:val="4AFC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C791B"/>
    <w:multiLevelType w:val="hybridMultilevel"/>
    <w:tmpl w:val="931C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85080"/>
    <w:multiLevelType w:val="hybridMultilevel"/>
    <w:tmpl w:val="2E7EE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F94C74"/>
    <w:multiLevelType w:val="hybridMultilevel"/>
    <w:tmpl w:val="C26A081A"/>
    <w:lvl w:ilvl="0" w:tplc="0DF0176A">
      <w:start w:val="1"/>
      <w:numFmt w:val="decimal"/>
      <w:lvlText w:val="%1."/>
      <w:lvlJc w:val="left"/>
      <w:pPr>
        <w:ind w:left="1080" w:hanging="360"/>
      </w:pPr>
      <w:rPr>
        <w:rFonts w:asciiTheme="minorHAnsi" w:hAnsi="Calibri" w:cs="Arial" w:hint="default"/>
        <w:color w:val="000000" w:themeColor="text1"/>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E23F00"/>
    <w:multiLevelType w:val="hybridMultilevel"/>
    <w:tmpl w:val="2E666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BB377D"/>
    <w:multiLevelType w:val="hybridMultilevel"/>
    <w:tmpl w:val="DF626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9F2918"/>
    <w:multiLevelType w:val="multilevel"/>
    <w:tmpl w:val="56C8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96356"/>
    <w:multiLevelType w:val="hybridMultilevel"/>
    <w:tmpl w:val="276A6E5C"/>
    <w:lvl w:ilvl="0" w:tplc="065EB902">
      <w:start w:val="1"/>
      <w:numFmt w:val="decimal"/>
      <w:lvlText w:val="%1."/>
      <w:lvlJc w:val="left"/>
      <w:pPr>
        <w:ind w:left="720" w:hanging="360"/>
      </w:pPr>
      <w:rPr>
        <w:rFonts w:asciiTheme="minorHAnsi" w:hAnsi="Calibri" w:cs="Arial" w:hint="default"/>
        <w:color w:val="000000" w:themeColor="text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E27C4"/>
    <w:multiLevelType w:val="hybridMultilevel"/>
    <w:tmpl w:val="8B802A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1DB1CB7"/>
    <w:multiLevelType w:val="hybridMultilevel"/>
    <w:tmpl w:val="B6046F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E4B57"/>
    <w:multiLevelType w:val="hybridMultilevel"/>
    <w:tmpl w:val="35EE5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0037557">
    <w:abstractNumId w:val="16"/>
  </w:num>
  <w:num w:numId="2" w16cid:durableId="445463137">
    <w:abstractNumId w:val="3"/>
  </w:num>
  <w:num w:numId="3" w16cid:durableId="1231429862">
    <w:abstractNumId w:val="21"/>
  </w:num>
  <w:num w:numId="4" w16cid:durableId="592669211">
    <w:abstractNumId w:val="0"/>
  </w:num>
  <w:num w:numId="5" w16cid:durableId="457189207">
    <w:abstractNumId w:val="14"/>
  </w:num>
  <w:num w:numId="6" w16cid:durableId="1682270887">
    <w:abstractNumId w:val="13"/>
  </w:num>
  <w:num w:numId="7" w16cid:durableId="1742365736">
    <w:abstractNumId w:val="4"/>
  </w:num>
  <w:num w:numId="8" w16cid:durableId="80687809">
    <w:abstractNumId w:val="12"/>
  </w:num>
  <w:num w:numId="9" w16cid:durableId="1098208433">
    <w:abstractNumId w:val="1"/>
  </w:num>
  <w:num w:numId="10" w16cid:durableId="1082096715">
    <w:abstractNumId w:val="6"/>
  </w:num>
  <w:num w:numId="11" w16cid:durableId="1738673124">
    <w:abstractNumId w:val="17"/>
  </w:num>
  <w:num w:numId="12" w16cid:durableId="845707221">
    <w:abstractNumId w:val="5"/>
  </w:num>
  <w:num w:numId="13" w16cid:durableId="1455514478">
    <w:abstractNumId w:val="2"/>
  </w:num>
  <w:num w:numId="14" w16cid:durableId="2000577648">
    <w:abstractNumId w:val="19"/>
  </w:num>
  <w:num w:numId="15" w16cid:durableId="1780680298">
    <w:abstractNumId w:val="15"/>
  </w:num>
  <w:num w:numId="16" w16cid:durableId="1321958010">
    <w:abstractNumId w:val="22"/>
  </w:num>
  <w:num w:numId="17" w16cid:durableId="330258819">
    <w:abstractNumId w:val="18"/>
  </w:num>
  <w:num w:numId="18" w16cid:durableId="1756777246">
    <w:abstractNumId w:val="20"/>
  </w:num>
  <w:num w:numId="19" w16cid:durableId="1101683278">
    <w:abstractNumId w:val="9"/>
  </w:num>
  <w:num w:numId="20" w16cid:durableId="1140267728">
    <w:abstractNumId w:val="11"/>
  </w:num>
  <w:num w:numId="21" w16cid:durableId="1593122354">
    <w:abstractNumId w:val="8"/>
  </w:num>
  <w:num w:numId="22" w16cid:durableId="1192109422">
    <w:abstractNumId w:val="10"/>
  </w:num>
  <w:num w:numId="23" w16cid:durableId="1404063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66"/>
    <w:rsid w:val="000313D3"/>
    <w:rsid w:val="00037062"/>
    <w:rsid w:val="0009099A"/>
    <w:rsid w:val="000B344F"/>
    <w:rsid w:val="000B47EE"/>
    <w:rsid w:val="000C43B9"/>
    <w:rsid w:val="00194FBC"/>
    <w:rsid w:val="001D601F"/>
    <w:rsid w:val="00297BBD"/>
    <w:rsid w:val="002A0B40"/>
    <w:rsid w:val="002C175F"/>
    <w:rsid w:val="00314AD9"/>
    <w:rsid w:val="003622CC"/>
    <w:rsid w:val="00367D22"/>
    <w:rsid w:val="003818CA"/>
    <w:rsid w:val="003E5764"/>
    <w:rsid w:val="003F202A"/>
    <w:rsid w:val="00466E65"/>
    <w:rsid w:val="00504CBA"/>
    <w:rsid w:val="00511FA9"/>
    <w:rsid w:val="005648D9"/>
    <w:rsid w:val="00570E4C"/>
    <w:rsid w:val="005A0EEF"/>
    <w:rsid w:val="00606D19"/>
    <w:rsid w:val="006B0D48"/>
    <w:rsid w:val="006C5497"/>
    <w:rsid w:val="006F0719"/>
    <w:rsid w:val="00707897"/>
    <w:rsid w:val="00713019"/>
    <w:rsid w:val="00713866"/>
    <w:rsid w:val="007254FA"/>
    <w:rsid w:val="007B5C76"/>
    <w:rsid w:val="007F15BC"/>
    <w:rsid w:val="008309B4"/>
    <w:rsid w:val="008564F5"/>
    <w:rsid w:val="00971F0E"/>
    <w:rsid w:val="00972912"/>
    <w:rsid w:val="00985DBB"/>
    <w:rsid w:val="00994059"/>
    <w:rsid w:val="009B53D3"/>
    <w:rsid w:val="009E030E"/>
    <w:rsid w:val="009F397F"/>
    <w:rsid w:val="009F415E"/>
    <w:rsid w:val="009F5C31"/>
    <w:rsid w:val="00A401CF"/>
    <w:rsid w:val="00A972A2"/>
    <w:rsid w:val="00AB0286"/>
    <w:rsid w:val="00AD6284"/>
    <w:rsid w:val="00B42B70"/>
    <w:rsid w:val="00B506C2"/>
    <w:rsid w:val="00C85AD4"/>
    <w:rsid w:val="00C85F0E"/>
    <w:rsid w:val="00CB197D"/>
    <w:rsid w:val="00D114DA"/>
    <w:rsid w:val="00D81B73"/>
    <w:rsid w:val="00DD49DE"/>
    <w:rsid w:val="00E5347D"/>
    <w:rsid w:val="00E76387"/>
    <w:rsid w:val="00EB2419"/>
    <w:rsid w:val="00ED0356"/>
    <w:rsid w:val="00EF1346"/>
    <w:rsid w:val="00F300B6"/>
    <w:rsid w:val="00FC3752"/>
    <w:rsid w:val="00FE2475"/>
    <w:rsid w:val="00FE7E01"/>
    <w:rsid w:val="00FF7B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12084"/>
  <w15:docId w15:val="{A0C1CDC7-407B-429C-AC92-8BC14564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3866"/>
    <w:pPr>
      <w:spacing w:after="0" w:line="240" w:lineRule="auto"/>
      <w:jc w:val="both"/>
    </w:pPr>
    <w:rPr>
      <w:rFonts w:ascii="Times New Roman" w:eastAsia="Calibri" w:hAnsi="Times New Roman" w:cs="Times New Roman"/>
      <w:szCs w:val="24"/>
    </w:rPr>
  </w:style>
  <w:style w:type="character" w:customStyle="1" w:styleId="BodyTextChar">
    <w:name w:val="Body Text Char"/>
    <w:basedOn w:val="DefaultParagraphFont"/>
    <w:link w:val="BodyText"/>
    <w:rsid w:val="00713866"/>
    <w:rPr>
      <w:rFonts w:ascii="Times New Roman" w:eastAsia="Calibri" w:hAnsi="Times New Roman" w:cs="Times New Roman"/>
      <w:szCs w:val="24"/>
    </w:rPr>
  </w:style>
  <w:style w:type="paragraph" w:styleId="ListParagraph">
    <w:name w:val="List Paragraph"/>
    <w:basedOn w:val="Normal"/>
    <w:uiPriority w:val="99"/>
    <w:qFormat/>
    <w:rsid w:val="00713866"/>
    <w:pPr>
      <w:ind w:left="720"/>
      <w:contextualSpacing/>
    </w:pPr>
  </w:style>
  <w:style w:type="paragraph" w:styleId="BalloonText">
    <w:name w:val="Balloon Text"/>
    <w:basedOn w:val="Normal"/>
    <w:link w:val="BalloonTextChar"/>
    <w:uiPriority w:val="99"/>
    <w:semiHidden/>
    <w:unhideWhenUsed/>
    <w:rsid w:val="00713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66"/>
    <w:rPr>
      <w:rFonts w:ascii="Tahoma" w:hAnsi="Tahoma" w:cs="Tahoma"/>
      <w:sz w:val="16"/>
      <w:szCs w:val="16"/>
    </w:rPr>
  </w:style>
  <w:style w:type="paragraph" w:styleId="NormalWeb">
    <w:name w:val="Normal (Web)"/>
    <w:basedOn w:val="Normal"/>
    <w:uiPriority w:val="99"/>
    <w:unhideWhenUsed/>
    <w:rsid w:val="00B506C2"/>
    <w:pPr>
      <w:spacing w:before="100" w:beforeAutospacing="1" w:after="100" w:afterAutospacing="1" w:line="240" w:lineRule="auto"/>
    </w:pPr>
    <w:rPr>
      <w:rFonts w:ascii="Times New Roman" w:hAnsi="Times New Roman" w:cs="Times New Roman"/>
      <w:sz w:val="24"/>
      <w:szCs w:val="24"/>
      <w:lang w:val="en-US" w:eastAsia="en-US"/>
    </w:rPr>
  </w:style>
  <w:style w:type="table" w:styleId="TableGrid">
    <w:name w:val="Table Grid"/>
    <w:basedOn w:val="TableNormal"/>
    <w:uiPriority w:val="99"/>
    <w:rsid w:val="00E7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1">
    <w:name w:val="List Table 3 - Accent 41"/>
    <w:basedOn w:val="TableNormal"/>
    <w:uiPriority w:val="48"/>
    <w:rsid w:val="005648D9"/>
    <w:pPr>
      <w:spacing w:after="0" w:line="240" w:lineRule="auto"/>
    </w:pPr>
    <w:rPr>
      <w:rFonts w:ascii="Calibri" w:eastAsia="Calibri" w:hAnsi="Calibri" w:cs="Times New Roman"/>
      <w:lang w:val="en-US"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styleId="Header">
    <w:name w:val="header"/>
    <w:basedOn w:val="Normal"/>
    <w:link w:val="HeaderChar"/>
    <w:uiPriority w:val="99"/>
    <w:unhideWhenUsed/>
    <w:rsid w:val="000370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7062"/>
  </w:style>
  <w:style w:type="paragraph" w:styleId="Footer">
    <w:name w:val="footer"/>
    <w:basedOn w:val="Normal"/>
    <w:link w:val="FooterChar"/>
    <w:unhideWhenUsed/>
    <w:rsid w:val="00037062"/>
    <w:pPr>
      <w:tabs>
        <w:tab w:val="center" w:pos="4320"/>
        <w:tab w:val="right" w:pos="8640"/>
      </w:tabs>
      <w:spacing w:after="0" w:line="240" w:lineRule="auto"/>
    </w:pPr>
  </w:style>
  <w:style w:type="character" w:customStyle="1" w:styleId="FooterChar">
    <w:name w:val="Footer Char"/>
    <w:basedOn w:val="DefaultParagraphFont"/>
    <w:link w:val="Footer"/>
    <w:rsid w:val="00037062"/>
  </w:style>
  <w:style w:type="character" w:styleId="PageNumber">
    <w:name w:val="page number"/>
    <w:semiHidden/>
    <w:rsid w:val="00A972A2"/>
  </w:style>
  <w:style w:type="paragraph" w:customStyle="1" w:styleId="01StandardTitle">
    <w:name w:val="01. Standard Title"/>
    <w:next w:val="Normal"/>
    <w:link w:val="01StandardTitleChar"/>
    <w:qFormat/>
    <w:rsid w:val="000B47EE"/>
    <w:pPr>
      <w:spacing w:after="120" w:line="240" w:lineRule="auto"/>
      <w:ind w:right="-125"/>
    </w:pPr>
    <w:rPr>
      <w:rFonts w:ascii="Calibri" w:eastAsia="Calibri" w:hAnsi="Calibri" w:cs="Times New Roman"/>
      <w:b/>
      <w:color w:val="00366B"/>
      <w:sz w:val="40"/>
      <w:szCs w:val="40"/>
      <w:lang w:eastAsia="en-US"/>
    </w:rPr>
  </w:style>
  <w:style w:type="character" w:customStyle="1" w:styleId="01StandardTitleChar">
    <w:name w:val="01. Standard Title Char"/>
    <w:basedOn w:val="DefaultParagraphFont"/>
    <w:link w:val="01StandardTitle"/>
    <w:rsid w:val="000B47EE"/>
    <w:rPr>
      <w:rFonts w:ascii="Calibri" w:eastAsia="Calibri" w:hAnsi="Calibri" w:cs="Times New Roman"/>
      <w:b/>
      <w:color w:val="00366B"/>
      <w:sz w:val="40"/>
      <w:szCs w:val="40"/>
      <w:lang w:eastAsia="en-US"/>
    </w:rPr>
  </w:style>
  <w:style w:type="paragraph" w:customStyle="1" w:styleId="07Tabletext">
    <w:name w:val="07. Table text"/>
    <w:basedOn w:val="Normal"/>
    <w:link w:val="07TabletextChar"/>
    <w:qFormat/>
    <w:rsid w:val="000B47EE"/>
    <w:pPr>
      <w:spacing w:before="120" w:after="120" w:line="240" w:lineRule="auto"/>
    </w:pPr>
    <w:rPr>
      <w:rFonts w:ascii="Calibri" w:eastAsia="Calibri" w:hAnsi="Calibri" w:cs="Times New Roman"/>
      <w:color w:val="404040"/>
      <w:lang w:eastAsia="en-US"/>
    </w:rPr>
  </w:style>
  <w:style w:type="character" w:customStyle="1" w:styleId="07TabletextChar">
    <w:name w:val="07. Table text Char"/>
    <w:basedOn w:val="DefaultParagraphFont"/>
    <w:link w:val="07Tabletext"/>
    <w:rsid w:val="000B47EE"/>
    <w:rPr>
      <w:rFonts w:ascii="Calibri" w:eastAsia="Calibri" w:hAnsi="Calibri" w:cs="Times New Roman"/>
      <w:color w:val="4040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Ware</dc:creator>
  <cp:lastModifiedBy>Sarah Dennison</cp:lastModifiedBy>
  <cp:revision>2</cp:revision>
  <cp:lastPrinted>2012-01-12T14:26:00Z</cp:lastPrinted>
  <dcterms:created xsi:type="dcterms:W3CDTF">2024-07-08T20:04:00Z</dcterms:created>
  <dcterms:modified xsi:type="dcterms:W3CDTF">2024-07-08T20:04:00Z</dcterms:modified>
</cp:coreProperties>
</file>