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D2E89" w14:textId="6ABC7188" w:rsidR="001A62F5" w:rsidRPr="001A62F5" w:rsidRDefault="00D64DF1" w:rsidP="0090547E">
      <w:pPr>
        <w:tabs>
          <w:tab w:val="left" w:pos="2268"/>
        </w:tabs>
        <w:jc w:val="center"/>
        <w:rPr>
          <w:rFonts w:ascii="Century Gothic" w:hAnsi="Century Gothic" w:cs="Calibri Light"/>
          <w:b/>
          <w:sz w:val="36"/>
          <w:szCs w:val="36"/>
          <w:u w:val="single"/>
        </w:rPr>
      </w:pPr>
      <w:r w:rsidRPr="00810F4F">
        <w:rPr>
          <w:rFonts w:ascii="Century Gothic" w:hAnsi="Century Gothic" w:cs="Calibri Light"/>
          <w:b/>
          <w:sz w:val="36"/>
          <w:szCs w:val="36"/>
          <w:u w:val="single"/>
        </w:rPr>
        <w:t>Central</w:t>
      </w:r>
      <w:r w:rsidR="00CE043A" w:rsidRPr="00810F4F">
        <w:rPr>
          <w:rFonts w:ascii="Century Gothic" w:hAnsi="Century Gothic" w:cs="Calibri Light"/>
          <w:b/>
          <w:sz w:val="36"/>
          <w:szCs w:val="36"/>
          <w:u w:val="single"/>
        </w:rPr>
        <w:t>ised</w:t>
      </w:r>
      <w:r w:rsidRPr="00810F4F">
        <w:rPr>
          <w:rFonts w:ascii="Century Gothic" w:hAnsi="Century Gothic" w:cs="Calibri Light"/>
          <w:b/>
          <w:sz w:val="36"/>
          <w:szCs w:val="36"/>
          <w:u w:val="single"/>
        </w:rPr>
        <w:t xml:space="preserve"> </w:t>
      </w:r>
      <w:r w:rsidR="001A62F5">
        <w:rPr>
          <w:rFonts w:ascii="Century Gothic" w:hAnsi="Century Gothic" w:cs="Calibri Light"/>
          <w:b/>
          <w:color w:val="000000" w:themeColor="text1"/>
          <w:sz w:val="36"/>
          <w:szCs w:val="36"/>
          <w:u w:val="single"/>
        </w:rPr>
        <w:t xml:space="preserve">Investment / </w:t>
      </w:r>
      <w:r w:rsidRPr="00810F4F">
        <w:rPr>
          <w:rFonts w:ascii="Century Gothic" w:hAnsi="Century Gothic" w:cs="Calibri Light"/>
          <w:b/>
          <w:sz w:val="36"/>
          <w:szCs w:val="36"/>
          <w:u w:val="single"/>
        </w:rPr>
        <w:t>Retirement Proposition</w:t>
      </w:r>
      <w:r w:rsidR="001A62F5">
        <w:rPr>
          <w:rFonts w:ascii="Century Gothic" w:hAnsi="Century Gothic" w:cs="Calibri Light"/>
          <w:b/>
          <w:sz w:val="36"/>
          <w:szCs w:val="36"/>
          <w:u w:val="single"/>
        </w:rPr>
        <w:t xml:space="preserve"> and Client Categorisation</w:t>
      </w:r>
      <w:r w:rsidR="00D04178">
        <w:rPr>
          <w:rFonts w:ascii="Century Gothic" w:hAnsi="Century Gothic" w:cs="Calibri Light"/>
          <w:b/>
          <w:sz w:val="36"/>
          <w:szCs w:val="36"/>
          <w:u w:val="single"/>
        </w:rPr>
        <w:t xml:space="preserve"> (incorporating PROD)</w:t>
      </w:r>
    </w:p>
    <w:p w14:paraId="380481CC" w14:textId="3EDFA477" w:rsidR="001A62F5" w:rsidRDefault="001A62F5" w:rsidP="00A8085F">
      <w:pPr>
        <w:jc w:val="both"/>
        <w:rPr>
          <w:rFonts w:ascii="Century Gothic" w:hAnsi="Century Gothic" w:cs="Calibri Light"/>
          <w:i/>
          <w:u w:val="single"/>
        </w:rPr>
      </w:pPr>
    </w:p>
    <w:p w14:paraId="24B551D5" w14:textId="7B75F727" w:rsidR="001A62F5" w:rsidRPr="000F7CEA" w:rsidRDefault="001A62F5" w:rsidP="00A8085F">
      <w:pPr>
        <w:jc w:val="both"/>
        <w:rPr>
          <w:rFonts w:ascii="Century Gothic" w:hAnsi="Century Gothic" w:cs="Calibri Light"/>
          <w:b/>
          <w:bCs/>
          <w:i/>
          <w:u w:val="single"/>
        </w:rPr>
      </w:pPr>
      <w:r w:rsidRPr="000F7CEA">
        <w:rPr>
          <w:rFonts w:ascii="Century Gothic" w:hAnsi="Century Gothic" w:cs="Calibri Light"/>
          <w:b/>
          <w:bCs/>
          <w:i/>
          <w:u w:val="single"/>
        </w:rPr>
        <w:t>Metrics</w:t>
      </w:r>
    </w:p>
    <w:p w14:paraId="14E23FBF" w14:textId="77777777" w:rsidR="001A62F5" w:rsidRPr="001A62F5" w:rsidRDefault="001A62F5" w:rsidP="00A8085F">
      <w:pPr>
        <w:jc w:val="both"/>
        <w:rPr>
          <w:rFonts w:ascii="Century Gothic" w:hAnsi="Century Gothic" w:cs="Calibri Light"/>
          <w:iCs/>
        </w:rPr>
      </w:pPr>
      <w:r w:rsidRPr="001A62F5">
        <w:rPr>
          <w:rFonts w:ascii="Century Gothic" w:hAnsi="Century Gothic" w:cs="Calibri Light"/>
          <w:iCs/>
        </w:rPr>
        <w:t xml:space="preserve">We </w:t>
      </w:r>
    </w:p>
    <w:p w14:paraId="68E052ED" w14:textId="0971CFAB" w:rsidR="001A62F5" w:rsidRPr="001A62F5" w:rsidRDefault="001A62F5" w:rsidP="001A62F5">
      <w:pPr>
        <w:pStyle w:val="ListParagraph"/>
        <w:numPr>
          <w:ilvl w:val="0"/>
          <w:numId w:val="1"/>
        </w:numPr>
        <w:jc w:val="both"/>
        <w:rPr>
          <w:rFonts w:ascii="Century Gothic" w:hAnsi="Century Gothic" w:cs="Calibri Light"/>
          <w:iCs/>
        </w:rPr>
      </w:pPr>
      <w:r w:rsidRPr="001A62F5">
        <w:rPr>
          <w:rFonts w:ascii="Century Gothic" w:hAnsi="Century Gothic" w:cs="Calibri Light"/>
          <w:iCs/>
        </w:rPr>
        <w:t>work exclusively in the retail market. Our clients are in general</w:t>
      </w:r>
      <w:r w:rsidR="00B62464">
        <w:rPr>
          <w:rFonts w:ascii="Century Gothic" w:hAnsi="Century Gothic" w:cs="Calibri Light"/>
          <w:iCs/>
        </w:rPr>
        <w:t>,</w:t>
      </w:r>
      <w:r w:rsidRPr="001A62F5">
        <w:rPr>
          <w:rFonts w:ascii="Century Gothic" w:hAnsi="Century Gothic" w:cs="Calibri Light"/>
          <w:iCs/>
        </w:rPr>
        <w:t xml:space="preserve"> mass affluent. This is our strategic client categorisation;</w:t>
      </w:r>
    </w:p>
    <w:p w14:paraId="75A29487" w14:textId="0B5F39E3" w:rsidR="001A62F5" w:rsidRPr="001A62F5" w:rsidRDefault="001A62F5" w:rsidP="001A62F5">
      <w:pPr>
        <w:pStyle w:val="ListParagraph"/>
        <w:numPr>
          <w:ilvl w:val="0"/>
          <w:numId w:val="1"/>
        </w:numPr>
        <w:jc w:val="both"/>
        <w:rPr>
          <w:rFonts w:ascii="Century Gothic" w:hAnsi="Century Gothic" w:cs="Calibri Light"/>
          <w:iCs/>
        </w:rPr>
      </w:pPr>
      <w:r w:rsidRPr="001A62F5">
        <w:rPr>
          <w:rFonts w:ascii="Century Gothic" w:hAnsi="Century Gothic" w:cs="Calibri Light"/>
          <w:iCs/>
        </w:rPr>
        <w:t>have tactical categorisations</w:t>
      </w:r>
      <w:r w:rsidR="003D5BC8">
        <w:rPr>
          <w:rFonts w:ascii="Century Gothic" w:hAnsi="Century Gothic" w:cs="Calibri Light"/>
          <w:iCs/>
        </w:rPr>
        <w:t xml:space="preserve"> - b</w:t>
      </w:r>
      <w:r w:rsidRPr="001A62F5">
        <w:rPr>
          <w:rFonts w:ascii="Century Gothic" w:hAnsi="Century Gothic" w:cs="Calibri Light"/>
          <w:iCs/>
        </w:rPr>
        <w:t>roadly these relate to pre and post retirement situations;</w:t>
      </w:r>
    </w:p>
    <w:p w14:paraId="1176D1E2" w14:textId="7BE770E9" w:rsidR="001A62F5" w:rsidRDefault="001A62F5" w:rsidP="001A62F5">
      <w:pPr>
        <w:pStyle w:val="ListParagraph"/>
        <w:numPr>
          <w:ilvl w:val="0"/>
          <w:numId w:val="1"/>
        </w:numPr>
        <w:jc w:val="both"/>
        <w:rPr>
          <w:rFonts w:ascii="Century Gothic" w:hAnsi="Century Gothic" w:cs="Calibri Light"/>
          <w:iCs/>
        </w:rPr>
      </w:pPr>
      <w:r>
        <w:rPr>
          <w:rFonts w:ascii="Century Gothic" w:hAnsi="Century Gothic" w:cs="Calibri Light"/>
          <w:iCs/>
        </w:rPr>
        <w:t>o</w:t>
      </w:r>
      <w:r w:rsidRPr="001A62F5">
        <w:rPr>
          <w:rFonts w:ascii="Century Gothic" w:hAnsi="Century Gothic" w:cs="Calibri Light"/>
          <w:iCs/>
        </w:rPr>
        <w:t xml:space="preserve">perate a centralised investment proposition </w:t>
      </w:r>
      <w:r w:rsidR="009D27EB">
        <w:rPr>
          <w:rFonts w:ascii="Century Gothic" w:hAnsi="Century Gothic" w:cs="Calibri Light"/>
          <w:iCs/>
        </w:rPr>
        <w:t xml:space="preserve">(CIP) </w:t>
      </w:r>
      <w:r w:rsidRPr="001A62F5">
        <w:rPr>
          <w:rFonts w:ascii="Century Gothic" w:hAnsi="Century Gothic" w:cs="Calibri Light"/>
          <w:iCs/>
        </w:rPr>
        <w:t>which accommodates a business model predicated on an in-house investment proposition requiring model portfolios and fund switching / re-balancing</w:t>
      </w:r>
      <w:r w:rsidR="003D5BC8">
        <w:rPr>
          <w:rFonts w:ascii="Century Gothic" w:hAnsi="Century Gothic" w:cs="Calibri Light"/>
          <w:iCs/>
        </w:rPr>
        <w:t>;</w:t>
      </w:r>
    </w:p>
    <w:p w14:paraId="0E9D77A8" w14:textId="77777777" w:rsidR="003D5BC8" w:rsidRDefault="003D5BC8" w:rsidP="003D5BC8">
      <w:pPr>
        <w:pStyle w:val="ListParagraph"/>
        <w:numPr>
          <w:ilvl w:val="0"/>
          <w:numId w:val="1"/>
        </w:numPr>
        <w:jc w:val="both"/>
        <w:rPr>
          <w:rFonts w:ascii="Century Gothic" w:hAnsi="Century Gothic" w:cs="Calibri Light"/>
          <w:iCs/>
        </w:rPr>
      </w:pPr>
      <w:r>
        <w:rPr>
          <w:rFonts w:ascii="Century Gothic" w:hAnsi="Century Gothic" w:cs="Calibri Light"/>
          <w:iCs/>
        </w:rPr>
        <w:t xml:space="preserve">believe that </w:t>
      </w:r>
    </w:p>
    <w:p w14:paraId="20A6C0AE" w14:textId="2D401AC5" w:rsidR="003D5BC8" w:rsidRDefault="003D5BC8" w:rsidP="003D5BC8">
      <w:pPr>
        <w:pStyle w:val="ListParagraph"/>
        <w:numPr>
          <w:ilvl w:val="1"/>
          <w:numId w:val="1"/>
        </w:numPr>
        <w:jc w:val="both"/>
        <w:rPr>
          <w:rFonts w:ascii="Century Gothic" w:hAnsi="Century Gothic" w:cs="Calibri Light"/>
          <w:iCs/>
        </w:rPr>
      </w:pPr>
      <w:r>
        <w:rPr>
          <w:rFonts w:ascii="Century Gothic" w:hAnsi="Century Gothic" w:cs="Calibri Light"/>
          <w:iCs/>
        </w:rPr>
        <w:t>servicing client needs drives our advice model</w:t>
      </w:r>
    </w:p>
    <w:p w14:paraId="56763E11" w14:textId="77777777" w:rsidR="003D5BC8" w:rsidRDefault="003D5BC8" w:rsidP="003D5BC8">
      <w:pPr>
        <w:pStyle w:val="ListParagraph"/>
        <w:numPr>
          <w:ilvl w:val="1"/>
          <w:numId w:val="1"/>
        </w:numPr>
        <w:jc w:val="both"/>
        <w:rPr>
          <w:rFonts w:ascii="Century Gothic" w:hAnsi="Century Gothic" w:cs="Calibri Light"/>
          <w:iCs/>
        </w:rPr>
      </w:pPr>
      <w:r>
        <w:rPr>
          <w:rFonts w:ascii="Century Gothic" w:hAnsi="Century Gothic" w:cs="Calibri Light"/>
          <w:iCs/>
        </w:rPr>
        <w:t>clients in the main have a primary disposition to build, then preserve capital, but ultimately never to run out of income</w:t>
      </w:r>
    </w:p>
    <w:p w14:paraId="78E39E5E" w14:textId="67B1DAEA" w:rsidR="003D5BC8" w:rsidRDefault="003D5BC8" w:rsidP="003D5BC8">
      <w:pPr>
        <w:pStyle w:val="ListParagraph"/>
        <w:numPr>
          <w:ilvl w:val="1"/>
          <w:numId w:val="1"/>
        </w:numPr>
        <w:jc w:val="both"/>
        <w:rPr>
          <w:rFonts w:ascii="Century Gothic" w:hAnsi="Century Gothic" w:cs="Calibri Light"/>
          <w:iCs/>
        </w:rPr>
      </w:pPr>
      <w:r w:rsidRPr="003D5BC8">
        <w:rPr>
          <w:rFonts w:ascii="Century Gothic" w:hAnsi="Century Gothic" w:cs="Calibri Light"/>
          <w:iCs/>
        </w:rPr>
        <w:t>asset allocation</w:t>
      </w:r>
      <w:r>
        <w:rPr>
          <w:rFonts w:ascii="Century Gothic" w:hAnsi="Century Gothic" w:cs="Calibri Light"/>
          <w:iCs/>
        </w:rPr>
        <w:t xml:space="preserve"> and cost control</w:t>
      </w:r>
      <w:r w:rsidRPr="003D5BC8">
        <w:rPr>
          <w:rFonts w:ascii="Century Gothic" w:hAnsi="Century Gothic" w:cs="Calibri Light"/>
          <w:iCs/>
        </w:rPr>
        <w:t xml:space="preserve"> </w:t>
      </w:r>
      <w:r>
        <w:rPr>
          <w:rFonts w:ascii="Century Gothic" w:hAnsi="Century Gothic" w:cs="Calibri Light"/>
          <w:iCs/>
        </w:rPr>
        <w:t>are the key determinants of positive outcomes for clients</w:t>
      </w:r>
    </w:p>
    <w:p w14:paraId="2D281E32" w14:textId="68FFBCFA" w:rsidR="003D5BC8" w:rsidRDefault="003D5BC8" w:rsidP="003D5BC8">
      <w:pPr>
        <w:pStyle w:val="ListParagraph"/>
        <w:numPr>
          <w:ilvl w:val="1"/>
          <w:numId w:val="1"/>
        </w:numPr>
        <w:jc w:val="both"/>
        <w:rPr>
          <w:rFonts w:ascii="Century Gothic" w:hAnsi="Century Gothic" w:cs="Calibri Light"/>
          <w:iCs/>
        </w:rPr>
      </w:pPr>
      <w:r>
        <w:rPr>
          <w:rFonts w:ascii="Century Gothic" w:hAnsi="Century Gothic" w:cs="Calibri Light"/>
          <w:iCs/>
        </w:rPr>
        <w:t>portfolios should be mainstream, well diversified and liquid</w:t>
      </w:r>
    </w:p>
    <w:p w14:paraId="3601B623" w14:textId="6F28B169" w:rsidR="003D5BC8" w:rsidRPr="003D5BC8" w:rsidRDefault="003D5BC8" w:rsidP="003D5BC8">
      <w:pPr>
        <w:pStyle w:val="ListParagraph"/>
        <w:numPr>
          <w:ilvl w:val="1"/>
          <w:numId w:val="1"/>
        </w:numPr>
        <w:jc w:val="both"/>
        <w:rPr>
          <w:rFonts w:ascii="Century Gothic" w:hAnsi="Century Gothic" w:cs="Calibri Light"/>
          <w:iCs/>
        </w:rPr>
      </w:pPr>
      <w:r>
        <w:rPr>
          <w:rFonts w:ascii="Century Gothic" w:hAnsi="Century Gothic" w:cs="Calibri Light"/>
          <w:iCs/>
        </w:rPr>
        <w:t>products should be mainstream and, as far as possible, remain suitable throughout the client lifecycle</w:t>
      </w:r>
    </w:p>
    <w:p w14:paraId="5B1D4526" w14:textId="77777777" w:rsidR="009D27EB" w:rsidRDefault="009D27EB" w:rsidP="00A8085F">
      <w:pPr>
        <w:jc w:val="both"/>
        <w:rPr>
          <w:rFonts w:ascii="Century Gothic" w:hAnsi="Century Gothic" w:cs="Calibri Light"/>
          <w:i/>
          <w:u w:val="single"/>
        </w:rPr>
      </w:pPr>
    </w:p>
    <w:p w14:paraId="58DB7F67" w14:textId="77777777" w:rsidR="000F7CEA" w:rsidRDefault="001A62F5" w:rsidP="00A8085F">
      <w:pPr>
        <w:jc w:val="both"/>
        <w:rPr>
          <w:rFonts w:ascii="Century Gothic" w:hAnsi="Century Gothic" w:cs="Calibri Light"/>
          <w:b/>
          <w:bCs/>
          <w:i/>
          <w:u w:val="single"/>
        </w:rPr>
      </w:pPr>
      <w:r w:rsidRPr="000F7CEA">
        <w:rPr>
          <w:rFonts w:ascii="Century Gothic" w:hAnsi="Century Gothic" w:cs="Calibri Light"/>
          <w:b/>
          <w:bCs/>
          <w:i/>
          <w:u w:val="single"/>
        </w:rPr>
        <w:t xml:space="preserve">Tactical </w:t>
      </w:r>
      <w:r w:rsidR="009D27EB" w:rsidRPr="000F7CEA">
        <w:rPr>
          <w:rFonts w:ascii="Century Gothic" w:hAnsi="Century Gothic" w:cs="Calibri Light"/>
          <w:b/>
          <w:bCs/>
          <w:i/>
          <w:u w:val="single"/>
        </w:rPr>
        <w:t>categorisation</w:t>
      </w:r>
    </w:p>
    <w:p w14:paraId="77977E8A" w14:textId="59A638BD" w:rsidR="001A62F5" w:rsidRPr="000F7CEA" w:rsidRDefault="001A62F5" w:rsidP="00A8085F">
      <w:pPr>
        <w:jc w:val="both"/>
        <w:rPr>
          <w:rFonts w:ascii="Century Gothic" w:hAnsi="Century Gothic" w:cs="Calibri Light"/>
          <w:b/>
          <w:bCs/>
          <w:i/>
          <w:u w:val="single"/>
        </w:rPr>
      </w:pPr>
      <w:r>
        <w:rPr>
          <w:rFonts w:ascii="Century Gothic" w:hAnsi="Century Gothic" w:cs="Calibri Light"/>
          <w:i/>
          <w:u w:val="single"/>
        </w:rPr>
        <w:t xml:space="preserve"> </w:t>
      </w:r>
    </w:p>
    <w:p w14:paraId="0CF8FF77" w14:textId="0EFCF317" w:rsidR="001B3B7D" w:rsidRPr="00810F4F" w:rsidRDefault="001B3B7D" w:rsidP="00A8085F">
      <w:pPr>
        <w:jc w:val="both"/>
        <w:rPr>
          <w:rFonts w:ascii="Century Gothic" w:hAnsi="Century Gothic" w:cs="Calibri Light"/>
          <w:i/>
          <w:u w:val="single"/>
        </w:rPr>
      </w:pPr>
      <w:r w:rsidRPr="00810F4F">
        <w:rPr>
          <w:rFonts w:ascii="Century Gothic" w:hAnsi="Century Gothic" w:cs="Calibri Light"/>
          <w:i/>
          <w:u w:val="single"/>
        </w:rPr>
        <w:t xml:space="preserve">Pre-distribution phase of client </w:t>
      </w:r>
      <w:r w:rsidR="007D2A41" w:rsidRPr="00810F4F">
        <w:rPr>
          <w:rFonts w:ascii="Century Gothic" w:hAnsi="Century Gothic" w:cs="Calibri Light"/>
          <w:i/>
          <w:u w:val="single"/>
        </w:rPr>
        <w:t>life cycle</w:t>
      </w:r>
    </w:p>
    <w:p w14:paraId="4181D71C" w14:textId="6290E176" w:rsidR="00D64DF1" w:rsidRPr="00810F4F" w:rsidRDefault="00D64DF1" w:rsidP="00A8085F">
      <w:pPr>
        <w:jc w:val="both"/>
        <w:rPr>
          <w:rFonts w:ascii="Century Gothic" w:hAnsi="Century Gothic" w:cs="Calibri Light"/>
        </w:rPr>
      </w:pPr>
      <w:r w:rsidRPr="00810F4F">
        <w:rPr>
          <w:rFonts w:ascii="Century Gothic" w:hAnsi="Century Gothic" w:cs="Calibri Light"/>
        </w:rPr>
        <w:t xml:space="preserve">The majority of clients are introduced to </w:t>
      </w:r>
      <w:r w:rsidR="003B461C" w:rsidRPr="00810F4F">
        <w:rPr>
          <w:rFonts w:ascii="Century Gothic" w:hAnsi="Century Gothic" w:cs="Calibri Light"/>
        </w:rPr>
        <w:t>us</w:t>
      </w:r>
      <w:r w:rsidRPr="00810F4F">
        <w:rPr>
          <w:rFonts w:ascii="Century Gothic" w:hAnsi="Century Gothic" w:cs="Calibri Light"/>
        </w:rPr>
        <w:t xml:space="preserve"> at </w:t>
      </w:r>
      <w:r w:rsidR="009D27EB">
        <w:rPr>
          <w:rFonts w:ascii="Century Gothic" w:hAnsi="Century Gothic" w:cs="Calibri Light"/>
        </w:rPr>
        <w:t xml:space="preserve">the </w:t>
      </w:r>
      <w:r w:rsidRPr="00810F4F">
        <w:rPr>
          <w:rFonts w:ascii="Century Gothic" w:hAnsi="Century Gothic" w:cs="Calibri Light"/>
        </w:rPr>
        <w:t>accumulation stage of life and for these clients</w:t>
      </w:r>
      <w:r w:rsidR="00A8085F" w:rsidRPr="00810F4F">
        <w:rPr>
          <w:rFonts w:ascii="Century Gothic" w:hAnsi="Century Gothic" w:cs="Calibri Light"/>
        </w:rPr>
        <w:t>,</w:t>
      </w:r>
      <w:r w:rsidRPr="00810F4F">
        <w:rPr>
          <w:rFonts w:ascii="Century Gothic" w:hAnsi="Century Gothic" w:cs="Calibri Light"/>
        </w:rPr>
        <w:t xml:space="preserve"> the CIP is used as part of </w:t>
      </w:r>
      <w:r w:rsidR="001B3B7D" w:rsidRPr="00810F4F">
        <w:rPr>
          <w:rFonts w:ascii="Century Gothic" w:hAnsi="Century Gothic" w:cs="Calibri Light"/>
        </w:rPr>
        <w:t xml:space="preserve">the </w:t>
      </w:r>
      <w:r w:rsidRPr="00810F4F">
        <w:rPr>
          <w:rFonts w:ascii="Century Gothic" w:hAnsi="Century Gothic" w:cs="Calibri Light"/>
        </w:rPr>
        <w:t>financial planning advice process.</w:t>
      </w:r>
      <w:r w:rsidR="001B3B7D" w:rsidRPr="00810F4F">
        <w:rPr>
          <w:rFonts w:ascii="Century Gothic" w:hAnsi="Century Gothic" w:cs="Calibri Light"/>
        </w:rPr>
        <w:t xml:space="preserve"> Please refer to our CIP process for that detail.</w:t>
      </w:r>
    </w:p>
    <w:p w14:paraId="3BCDF4CF" w14:textId="77777777" w:rsidR="000F7CEA" w:rsidRDefault="000F7CEA" w:rsidP="00A8085F">
      <w:pPr>
        <w:jc w:val="both"/>
        <w:rPr>
          <w:rFonts w:ascii="Century Gothic" w:hAnsi="Century Gothic" w:cs="Calibri Light"/>
          <w:i/>
          <w:u w:val="single"/>
        </w:rPr>
      </w:pPr>
    </w:p>
    <w:p w14:paraId="43D8E0B2" w14:textId="29658824" w:rsidR="001B3B7D" w:rsidRPr="00810F4F" w:rsidRDefault="001B3B7D" w:rsidP="00A8085F">
      <w:pPr>
        <w:jc w:val="both"/>
        <w:rPr>
          <w:rFonts w:ascii="Century Gothic" w:hAnsi="Century Gothic" w:cs="Calibri Light"/>
          <w:i/>
          <w:u w:val="single"/>
        </w:rPr>
      </w:pPr>
      <w:r w:rsidRPr="00810F4F">
        <w:rPr>
          <w:rFonts w:ascii="Century Gothic" w:hAnsi="Century Gothic" w:cs="Calibri Light"/>
          <w:i/>
          <w:u w:val="single"/>
        </w:rPr>
        <w:t xml:space="preserve">Distribution phase of client </w:t>
      </w:r>
      <w:r w:rsidR="007D2A41" w:rsidRPr="00810F4F">
        <w:rPr>
          <w:rFonts w:ascii="Century Gothic" w:hAnsi="Century Gothic" w:cs="Calibri Light"/>
          <w:i/>
          <w:u w:val="single"/>
        </w:rPr>
        <w:t>life cycle</w:t>
      </w:r>
    </w:p>
    <w:p w14:paraId="46D19C8A" w14:textId="13B8EA0B" w:rsidR="00D64DF1" w:rsidRPr="00810F4F" w:rsidRDefault="00D64DF1" w:rsidP="00B3095B">
      <w:pPr>
        <w:jc w:val="both"/>
        <w:rPr>
          <w:rFonts w:ascii="Century Gothic" w:hAnsi="Century Gothic" w:cs="Calibri Light"/>
        </w:rPr>
      </w:pPr>
      <w:r w:rsidRPr="00810F4F">
        <w:rPr>
          <w:rFonts w:ascii="Century Gothic" w:hAnsi="Century Gothic" w:cs="Calibri Light"/>
        </w:rPr>
        <w:t>When a client reaches the distribution stage</w:t>
      </w:r>
      <w:r w:rsidR="00A8085F" w:rsidRPr="00810F4F">
        <w:rPr>
          <w:rFonts w:ascii="Century Gothic" w:hAnsi="Century Gothic" w:cs="Calibri Light"/>
        </w:rPr>
        <w:t>,</w:t>
      </w:r>
      <w:r w:rsidRPr="00810F4F">
        <w:rPr>
          <w:rFonts w:ascii="Century Gothic" w:hAnsi="Century Gothic" w:cs="Calibri Light"/>
        </w:rPr>
        <w:t xml:space="preserve"> </w:t>
      </w:r>
      <w:r w:rsidR="003B461C" w:rsidRPr="00810F4F">
        <w:rPr>
          <w:rFonts w:ascii="Century Gothic" w:hAnsi="Century Gothic" w:cs="Calibri Light"/>
        </w:rPr>
        <w:t>we</w:t>
      </w:r>
      <w:r w:rsidRPr="00810F4F">
        <w:rPr>
          <w:rFonts w:ascii="Century Gothic" w:hAnsi="Century Gothic" w:cs="Calibri Light"/>
        </w:rPr>
        <w:t xml:space="preserve"> will assess each individual </w:t>
      </w:r>
      <w:r w:rsidR="001B3B7D" w:rsidRPr="00810F4F">
        <w:rPr>
          <w:rFonts w:ascii="Century Gothic" w:hAnsi="Century Gothic" w:cs="Calibri Light"/>
        </w:rPr>
        <w:t xml:space="preserve">based </w:t>
      </w:r>
      <w:r w:rsidRPr="00810F4F">
        <w:rPr>
          <w:rFonts w:ascii="Century Gothic" w:hAnsi="Century Gothic" w:cs="Calibri Light"/>
        </w:rPr>
        <w:t>on their circumstances at that time.</w:t>
      </w:r>
    </w:p>
    <w:p w14:paraId="77D5A6D1" w14:textId="5A6D8C6C" w:rsidR="001B3B7D" w:rsidRPr="00810F4F" w:rsidRDefault="001B3B7D" w:rsidP="00A8085F">
      <w:pPr>
        <w:jc w:val="both"/>
        <w:rPr>
          <w:rFonts w:ascii="Century Gothic" w:hAnsi="Century Gothic" w:cs="Calibri Light"/>
        </w:rPr>
      </w:pPr>
    </w:p>
    <w:p w14:paraId="37B0E5AC" w14:textId="3862F70A" w:rsidR="001B3B7D" w:rsidRPr="00810F4F" w:rsidRDefault="001B3B7D" w:rsidP="00A8085F">
      <w:pPr>
        <w:jc w:val="both"/>
        <w:rPr>
          <w:rFonts w:ascii="Century Gothic" w:hAnsi="Century Gothic" w:cs="Calibri Light"/>
          <w:i/>
          <w:u w:val="single"/>
        </w:rPr>
      </w:pPr>
      <w:r w:rsidRPr="00810F4F">
        <w:rPr>
          <w:rFonts w:ascii="Century Gothic" w:hAnsi="Century Gothic" w:cs="Calibri Light"/>
          <w:i/>
          <w:u w:val="single"/>
        </w:rPr>
        <w:t xml:space="preserve">The CIP is likely to be fit for </w:t>
      </w:r>
      <w:r w:rsidR="007D2A41" w:rsidRPr="00810F4F">
        <w:rPr>
          <w:rFonts w:ascii="Century Gothic" w:hAnsi="Century Gothic" w:cs="Calibri Light"/>
          <w:i/>
          <w:u w:val="single"/>
        </w:rPr>
        <w:t>purpose.</w:t>
      </w:r>
    </w:p>
    <w:p w14:paraId="19705F82" w14:textId="7450E33E" w:rsidR="001B3B7D" w:rsidRPr="00810F4F" w:rsidRDefault="001B3B7D" w:rsidP="00A8085F">
      <w:pPr>
        <w:jc w:val="both"/>
        <w:rPr>
          <w:rFonts w:ascii="Century Gothic" w:hAnsi="Century Gothic" w:cs="Calibri Light"/>
        </w:rPr>
      </w:pPr>
      <w:r w:rsidRPr="00810F4F">
        <w:rPr>
          <w:rFonts w:ascii="Century Gothic" w:hAnsi="Century Gothic" w:cs="Calibri Light"/>
        </w:rPr>
        <w:t>I</w:t>
      </w:r>
      <w:r w:rsidR="00D64DF1" w:rsidRPr="00810F4F">
        <w:rPr>
          <w:rFonts w:ascii="Century Gothic" w:hAnsi="Century Gothic" w:cs="Calibri Light"/>
        </w:rPr>
        <w:t xml:space="preserve">t is very unusual that a client product/provider will be altered at this time. </w:t>
      </w:r>
    </w:p>
    <w:p w14:paraId="0DEA4DFA" w14:textId="67358463" w:rsidR="001B3B7D" w:rsidRDefault="001B3B7D" w:rsidP="00A8085F">
      <w:pPr>
        <w:jc w:val="both"/>
        <w:rPr>
          <w:rFonts w:ascii="Century Gothic" w:hAnsi="Century Gothic" w:cs="Calibri Light"/>
        </w:rPr>
      </w:pPr>
    </w:p>
    <w:p w14:paraId="0B24A5FB" w14:textId="77777777" w:rsidR="000F7CEA" w:rsidRPr="00810F4F" w:rsidRDefault="000F7CEA" w:rsidP="00A8085F">
      <w:pPr>
        <w:jc w:val="both"/>
        <w:rPr>
          <w:rFonts w:ascii="Century Gothic" w:hAnsi="Century Gothic" w:cs="Calibri Light"/>
        </w:rPr>
      </w:pPr>
    </w:p>
    <w:p w14:paraId="4826DE43" w14:textId="45B87ECD" w:rsidR="000F7CEA" w:rsidRDefault="00EA0462" w:rsidP="00A8085F">
      <w:pPr>
        <w:jc w:val="both"/>
        <w:rPr>
          <w:rFonts w:ascii="Century Gothic" w:hAnsi="Century Gothic" w:cs="Calibri Light"/>
          <w:i/>
          <w:u w:val="single"/>
        </w:rPr>
      </w:pPr>
      <w:r>
        <w:rPr>
          <w:rFonts w:ascii="Century Gothic" w:hAnsi="Century Gothic" w:cs="Calibri Light"/>
          <w:i/>
          <w:u w:val="single"/>
        </w:rPr>
        <w:lastRenderedPageBreak/>
        <w:t>Pre-distribution</w:t>
      </w:r>
      <w:r w:rsidR="000F7CEA">
        <w:rPr>
          <w:rFonts w:ascii="Century Gothic" w:hAnsi="Century Gothic" w:cs="Calibri Light"/>
          <w:i/>
          <w:u w:val="single"/>
        </w:rPr>
        <w:t xml:space="preserve"> product map</w:t>
      </w:r>
    </w:p>
    <w:p w14:paraId="4E6B1759" w14:textId="77777777" w:rsidR="000F7CEA" w:rsidRDefault="000F7CEA" w:rsidP="00A8085F">
      <w:pPr>
        <w:jc w:val="both"/>
        <w:rPr>
          <w:rFonts w:ascii="Century Gothic" w:hAnsi="Century Gothic" w:cs="Calibri Light"/>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
        <w:gridCol w:w="2492"/>
        <w:gridCol w:w="2333"/>
        <w:gridCol w:w="3479"/>
      </w:tblGrid>
      <w:tr w:rsidR="000F7CEA" w:rsidRPr="00810F4F" w14:paraId="48900A40" w14:textId="77777777" w:rsidTr="00EA0462">
        <w:trPr>
          <w:tblHeader/>
        </w:trPr>
        <w:tc>
          <w:tcPr>
            <w:tcW w:w="338" w:type="dxa"/>
            <w:shd w:val="clear" w:color="auto" w:fill="009193"/>
          </w:tcPr>
          <w:p w14:paraId="24432BE8" w14:textId="77777777" w:rsidR="000F7CEA" w:rsidRPr="00810F4F" w:rsidRDefault="000F7CEA" w:rsidP="00934B33">
            <w:pPr>
              <w:spacing w:after="0" w:line="240" w:lineRule="auto"/>
              <w:jc w:val="both"/>
              <w:rPr>
                <w:rFonts w:ascii="Century Gothic" w:hAnsi="Century Gothic" w:cs="Calibri Light"/>
                <w:b/>
                <w:color w:val="FFFFFF"/>
              </w:rPr>
            </w:pPr>
          </w:p>
        </w:tc>
        <w:tc>
          <w:tcPr>
            <w:tcW w:w="2492" w:type="dxa"/>
            <w:shd w:val="clear" w:color="auto" w:fill="009193"/>
          </w:tcPr>
          <w:p w14:paraId="3FF825D1" w14:textId="5240DF92" w:rsidR="000F7CEA" w:rsidRPr="00810F4F" w:rsidRDefault="000F7CEA" w:rsidP="00934B33">
            <w:pPr>
              <w:spacing w:after="0" w:line="240" w:lineRule="auto"/>
              <w:jc w:val="both"/>
              <w:rPr>
                <w:rFonts w:ascii="Century Gothic" w:hAnsi="Century Gothic" w:cs="Calibri Light"/>
                <w:b/>
                <w:color w:val="FFFFFF"/>
              </w:rPr>
            </w:pPr>
            <w:r>
              <w:rPr>
                <w:rFonts w:ascii="Century Gothic" w:hAnsi="Century Gothic" w:cs="Calibri Light"/>
                <w:b/>
                <w:color w:val="FFFFFF"/>
              </w:rPr>
              <w:t>Lifecycle phase</w:t>
            </w:r>
          </w:p>
        </w:tc>
        <w:tc>
          <w:tcPr>
            <w:tcW w:w="2333" w:type="dxa"/>
            <w:shd w:val="clear" w:color="auto" w:fill="009193"/>
          </w:tcPr>
          <w:p w14:paraId="1272C938" w14:textId="67B62F45" w:rsidR="000F7CEA" w:rsidRPr="00810F4F" w:rsidRDefault="00EA0462" w:rsidP="00934B33">
            <w:pPr>
              <w:spacing w:after="0" w:line="240" w:lineRule="auto"/>
              <w:jc w:val="both"/>
              <w:rPr>
                <w:rFonts w:ascii="Century Gothic" w:hAnsi="Century Gothic" w:cs="Calibri Light"/>
                <w:b/>
                <w:color w:val="FFFFFF"/>
              </w:rPr>
            </w:pPr>
            <w:r>
              <w:rPr>
                <w:rFonts w:ascii="Century Gothic" w:hAnsi="Century Gothic" w:cs="Calibri Light"/>
                <w:b/>
                <w:color w:val="FFFFFF"/>
              </w:rPr>
              <w:t>Most likely</w:t>
            </w:r>
            <w:r w:rsidR="000F7CEA" w:rsidRPr="00810F4F">
              <w:rPr>
                <w:rFonts w:ascii="Century Gothic" w:hAnsi="Century Gothic" w:cs="Calibri Light"/>
                <w:b/>
                <w:color w:val="FFFFFF"/>
              </w:rPr>
              <w:t xml:space="preserve"> products</w:t>
            </w:r>
          </w:p>
        </w:tc>
        <w:tc>
          <w:tcPr>
            <w:tcW w:w="3479" w:type="dxa"/>
            <w:shd w:val="clear" w:color="auto" w:fill="009193"/>
          </w:tcPr>
          <w:p w14:paraId="589E3625" w14:textId="77777777" w:rsidR="000F7CEA" w:rsidRPr="00810F4F" w:rsidRDefault="000F7CEA" w:rsidP="00934B33">
            <w:pPr>
              <w:spacing w:after="0" w:line="240" w:lineRule="auto"/>
              <w:jc w:val="both"/>
              <w:rPr>
                <w:rFonts w:ascii="Century Gothic" w:hAnsi="Century Gothic" w:cs="Calibri Light"/>
                <w:b/>
                <w:color w:val="FFFFFF"/>
              </w:rPr>
            </w:pPr>
            <w:r w:rsidRPr="00810F4F">
              <w:rPr>
                <w:rFonts w:ascii="Century Gothic" w:hAnsi="Century Gothic" w:cs="Calibri Light"/>
                <w:b/>
                <w:color w:val="FFFFFF"/>
              </w:rPr>
              <w:t>Reasons</w:t>
            </w:r>
          </w:p>
        </w:tc>
      </w:tr>
      <w:tr w:rsidR="000F7CEA" w:rsidRPr="00810F4F" w14:paraId="0F7FA8A5" w14:textId="77777777" w:rsidTr="00EA0462">
        <w:tc>
          <w:tcPr>
            <w:tcW w:w="338" w:type="dxa"/>
            <w:shd w:val="clear" w:color="auto" w:fill="auto"/>
            <w:vAlign w:val="center"/>
          </w:tcPr>
          <w:p w14:paraId="58E606CD" w14:textId="77777777" w:rsidR="000F7CEA" w:rsidRPr="00810F4F" w:rsidRDefault="000F7CEA" w:rsidP="00934B33">
            <w:pPr>
              <w:spacing w:after="0" w:line="240" w:lineRule="auto"/>
              <w:jc w:val="center"/>
              <w:rPr>
                <w:rFonts w:ascii="Century Gothic" w:hAnsi="Century Gothic" w:cs="Calibri Light"/>
              </w:rPr>
            </w:pPr>
            <w:r w:rsidRPr="00810F4F">
              <w:rPr>
                <w:rFonts w:ascii="Century Gothic" w:hAnsi="Century Gothic" w:cs="Calibri Light"/>
              </w:rPr>
              <w:t>1</w:t>
            </w:r>
          </w:p>
        </w:tc>
        <w:tc>
          <w:tcPr>
            <w:tcW w:w="2492" w:type="dxa"/>
            <w:shd w:val="clear" w:color="auto" w:fill="auto"/>
          </w:tcPr>
          <w:p w14:paraId="0B9FC03E" w14:textId="77F5674A" w:rsidR="000F7CEA" w:rsidRPr="00810F4F" w:rsidRDefault="00EA0462" w:rsidP="00934B33">
            <w:pPr>
              <w:spacing w:after="0" w:line="240" w:lineRule="auto"/>
              <w:jc w:val="both"/>
              <w:rPr>
                <w:rFonts w:ascii="Century Gothic" w:hAnsi="Century Gothic" w:cs="Calibri Light"/>
              </w:rPr>
            </w:pPr>
            <w:r>
              <w:rPr>
                <w:rFonts w:ascii="Century Gothic" w:hAnsi="Century Gothic" w:cs="Calibri Light"/>
              </w:rPr>
              <w:t>Young a</w:t>
            </w:r>
            <w:r w:rsidR="000F7CEA">
              <w:rPr>
                <w:rFonts w:ascii="Century Gothic" w:hAnsi="Century Gothic" w:cs="Calibri Light"/>
              </w:rPr>
              <w:t>ccumulators</w:t>
            </w:r>
          </w:p>
        </w:tc>
        <w:tc>
          <w:tcPr>
            <w:tcW w:w="2333" w:type="dxa"/>
            <w:shd w:val="clear" w:color="auto" w:fill="auto"/>
          </w:tcPr>
          <w:p w14:paraId="04A731CD" w14:textId="3EDB4A9F" w:rsidR="000F7CEA" w:rsidRPr="00810F4F" w:rsidRDefault="000F7CEA" w:rsidP="00934B33">
            <w:pPr>
              <w:spacing w:after="0" w:line="240" w:lineRule="auto"/>
              <w:jc w:val="both"/>
              <w:rPr>
                <w:rFonts w:ascii="Century Gothic" w:hAnsi="Century Gothic" w:cs="Calibri Light"/>
              </w:rPr>
            </w:pPr>
            <w:r w:rsidRPr="00810F4F">
              <w:rPr>
                <w:rFonts w:ascii="Century Gothic" w:hAnsi="Century Gothic" w:cs="Calibri Light"/>
              </w:rPr>
              <w:t xml:space="preserve">ISAs, </w:t>
            </w:r>
            <w:r w:rsidR="00EA0462">
              <w:rPr>
                <w:rFonts w:ascii="Century Gothic" w:hAnsi="Century Gothic" w:cs="Calibri Light"/>
              </w:rPr>
              <w:t>Pensions, Protection plans</w:t>
            </w:r>
          </w:p>
        </w:tc>
        <w:tc>
          <w:tcPr>
            <w:tcW w:w="3479" w:type="dxa"/>
            <w:shd w:val="clear" w:color="auto" w:fill="auto"/>
          </w:tcPr>
          <w:p w14:paraId="1D2E2CF6" w14:textId="4262AC7F" w:rsidR="000F7CEA" w:rsidRPr="00810F4F" w:rsidRDefault="00EA0462" w:rsidP="00934B33">
            <w:pPr>
              <w:spacing w:after="0" w:line="240" w:lineRule="auto"/>
              <w:jc w:val="both"/>
              <w:rPr>
                <w:rFonts w:ascii="Century Gothic" w:hAnsi="Century Gothic" w:cs="Calibri Light"/>
              </w:rPr>
            </w:pPr>
            <w:r>
              <w:rPr>
                <w:rFonts w:ascii="Century Gothic" w:hAnsi="Century Gothic" w:cs="Calibri Light"/>
              </w:rPr>
              <w:t>Big debts</w:t>
            </w:r>
            <w:r w:rsidR="00B62464">
              <w:rPr>
                <w:rFonts w:ascii="Century Gothic" w:hAnsi="Century Gothic" w:cs="Calibri Light"/>
              </w:rPr>
              <w:t xml:space="preserve"> &amp;</w:t>
            </w:r>
            <w:r>
              <w:rPr>
                <w:rFonts w:ascii="Century Gothic" w:hAnsi="Century Gothic" w:cs="Calibri Light"/>
              </w:rPr>
              <w:t xml:space="preserve"> young families lead to protection needs; mainstream tax efficient </w:t>
            </w:r>
            <w:r w:rsidR="00B62464">
              <w:rPr>
                <w:rFonts w:ascii="Century Gothic" w:hAnsi="Century Gothic" w:cs="Calibri Light"/>
              </w:rPr>
              <w:t>investment-based</w:t>
            </w:r>
            <w:r>
              <w:rPr>
                <w:rFonts w:ascii="Century Gothic" w:hAnsi="Century Gothic" w:cs="Calibri Light"/>
              </w:rPr>
              <w:t xml:space="preserve"> products to accumulate capital</w:t>
            </w:r>
          </w:p>
        </w:tc>
      </w:tr>
      <w:tr w:rsidR="000F7CEA" w:rsidRPr="00810F4F" w14:paraId="7D01C2B7" w14:textId="77777777" w:rsidTr="00EA0462">
        <w:tc>
          <w:tcPr>
            <w:tcW w:w="338" w:type="dxa"/>
            <w:shd w:val="clear" w:color="auto" w:fill="auto"/>
            <w:vAlign w:val="center"/>
          </w:tcPr>
          <w:p w14:paraId="2F757C29" w14:textId="77777777" w:rsidR="000F7CEA" w:rsidRPr="00810F4F" w:rsidRDefault="000F7CEA" w:rsidP="00934B33">
            <w:pPr>
              <w:spacing w:after="0" w:line="240" w:lineRule="auto"/>
              <w:jc w:val="center"/>
              <w:rPr>
                <w:rFonts w:ascii="Century Gothic" w:hAnsi="Century Gothic" w:cs="Calibri Light"/>
              </w:rPr>
            </w:pPr>
            <w:r w:rsidRPr="00810F4F">
              <w:rPr>
                <w:rFonts w:ascii="Century Gothic" w:hAnsi="Century Gothic" w:cs="Calibri Light"/>
              </w:rPr>
              <w:t>2</w:t>
            </w:r>
          </w:p>
        </w:tc>
        <w:tc>
          <w:tcPr>
            <w:tcW w:w="2492" w:type="dxa"/>
            <w:shd w:val="clear" w:color="auto" w:fill="auto"/>
          </w:tcPr>
          <w:p w14:paraId="49290FE7" w14:textId="62643840" w:rsidR="000F7CEA" w:rsidRPr="00810F4F" w:rsidRDefault="00EA0462" w:rsidP="00934B33">
            <w:pPr>
              <w:spacing w:after="0" w:line="240" w:lineRule="auto"/>
              <w:jc w:val="both"/>
              <w:rPr>
                <w:rFonts w:ascii="Century Gothic" w:hAnsi="Century Gothic" w:cs="Calibri Light"/>
              </w:rPr>
            </w:pPr>
            <w:r>
              <w:rPr>
                <w:rFonts w:ascii="Century Gothic" w:hAnsi="Century Gothic" w:cs="Calibri Light"/>
              </w:rPr>
              <w:t>Late accumulators</w:t>
            </w:r>
          </w:p>
        </w:tc>
        <w:tc>
          <w:tcPr>
            <w:tcW w:w="2333" w:type="dxa"/>
            <w:shd w:val="clear" w:color="auto" w:fill="auto"/>
          </w:tcPr>
          <w:p w14:paraId="7B3950F0" w14:textId="43EA90B1" w:rsidR="000F7CEA" w:rsidRPr="00810F4F" w:rsidRDefault="00EA0462" w:rsidP="00934B33">
            <w:pPr>
              <w:spacing w:after="0" w:line="240" w:lineRule="auto"/>
              <w:jc w:val="both"/>
              <w:rPr>
                <w:rFonts w:ascii="Century Gothic" w:hAnsi="Century Gothic" w:cs="Calibri Light"/>
              </w:rPr>
            </w:pPr>
            <w:r>
              <w:rPr>
                <w:rFonts w:ascii="Century Gothic" w:hAnsi="Century Gothic" w:cs="Calibri Light"/>
              </w:rPr>
              <w:t>ISAs, pensions</w:t>
            </w:r>
          </w:p>
        </w:tc>
        <w:tc>
          <w:tcPr>
            <w:tcW w:w="3479" w:type="dxa"/>
            <w:shd w:val="clear" w:color="auto" w:fill="auto"/>
          </w:tcPr>
          <w:p w14:paraId="60E2EF43" w14:textId="3221CADB" w:rsidR="000F7CEA" w:rsidRPr="00810F4F" w:rsidRDefault="00EA0462" w:rsidP="00934B33">
            <w:pPr>
              <w:spacing w:after="0" w:line="240" w:lineRule="auto"/>
              <w:jc w:val="both"/>
              <w:rPr>
                <w:rFonts w:ascii="Century Gothic" w:hAnsi="Century Gothic" w:cs="Calibri Light"/>
              </w:rPr>
            </w:pPr>
            <w:r>
              <w:rPr>
                <w:rFonts w:ascii="Century Gothic" w:hAnsi="Century Gothic" w:cs="Calibri Light"/>
              </w:rPr>
              <w:t>Although protection plans may still be needed, these sh</w:t>
            </w:r>
            <w:r w:rsidR="0028226D">
              <w:rPr>
                <w:rFonts w:ascii="Century Gothic" w:hAnsi="Century Gothic" w:cs="Calibri Light"/>
              </w:rPr>
              <w:t>ould be tailing off unless they serve an IHT purpose; investment accumulation is now crucial.</w:t>
            </w:r>
          </w:p>
        </w:tc>
      </w:tr>
    </w:tbl>
    <w:p w14:paraId="0FBB351A" w14:textId="77777777" w:rsidR="000F7CEA" w:rsidRDefault="000F7CEA" w:rsidP="00A8085F">
      <w:pPr>
        <w:jc w:val="both"/>
        <w:rPr>
          <w:rFonts w:ascii="Century Gothic" w:hAnsi="Century Gothic" w:cs="Calibri Light"/>
          <w:i/>
          <w:u w:val="single"/>
        </w:rPr>
      </w:pPr>
    </w:p>
    <w:p w14:paraId="4CDDC3EE" w14:textId="59BF01F7" w:rsidR="001B3B7D" w:rsidRPr="00810F4F" w:rsidRDefault="001B3B7D" w:rsidP="00A8085F">
      <w:pPr>
        <w:jc w:val="both"/>
        <w:rPr>
          <w:rFonts w:ascii="Century Gothic" w:hAnsi="Century Gothic" w:cs="Calibri Light"/>
          <w:i/>
          <w:u w:val="single"/>
        </w:rPr>
      </w:pPr>
      <w:r w:rsidRPr="00810F4F">
        <w:rPr>
          <w:rFonts w:ascii="Century Gothic" w:hAnsi="Century Gothic" w:cs="Calibri Light"/>
          <w:i/>
          <w:u w:val="single"/>
        </w:rPr>
        <w:t>Basis of client assessment at entry into distribution life-cycle</w:t>
      </w:r>
    </w:p>
    <w:p w14:paraId="14028275" w14:textId="6027FC9E" w:rsidR="001B3B7D" w:rsidRPr="00810F4F" w:rsidRDefault="001B3B7D" w:rsidP="00A8085F">
      <w:pPr>
        <w:jc w:val="both"/>
        <w:rPr>
          <w:rFonts w:ascii="Century Gothic" w:hAnsi="Century Gothic" w:cs="Calibri Light"/>
        </w:rPr>
      </w:pPr>
      <w:r w:rsidRPr="00810F4F">
        <w:rPr>
          <w:rFonts w:ascii="Century Gothic" w:hAnsi="Century Gothic" w:cs="Calibri Light"/>
        </w:rPr>
        <w:t xml:space="preserve">Our Centralised Retirement Proposition </w:t>
      </w:r>
      <w:r w:rsidR="005D6DD3" w:rsidRPr="00810F4F">
        <w:rPr>
          <w:rFonts w:ascii="Century Gothic" w:hAnsi="Century Gothic" w:cs="Calibri Light"/>
        </w:rPr>
        <w:t xml:space="preserve">(CRP) </w:t>
      </w:r>
      <w:r w:rsidRPr="00810F4F">
        <w:rPr>
          <w:rFonts w:ascii="Century Gothic" w:hAnsi="Century Gothic" w:cs="Calibri Light"/>
        </w:rPr>
        <w:t xml:space="preserve">is </w:t>
      </w:r>
      <w:r w:rsidR="009D27EB">
        <w:rPr>
          <w:rFonts w:ascii="Century Gothic" w:hAnsi="Century Gothic" w:cs="Calibri Light"/>
        </w:rPr>
        <w:t xml:space="preserve">a subset of our CIP and is </w:t>
      </w:r>
      <w:r w:rsidRPr="00810F4F">
        <w:rPr>
          <w:rFonts w:ascii="Century Gothic" w:hAnsi="Century Gothic" w:cs="Calibri Light"/>
        </w:rPr>
        <w:t>based on investment risk dynamics for clients</w:t>
      </w:r>
      <w:r w:rsidR="003B461C" w:rsidRPr="00810F4F">
        <w:rPr>
          <w:rFonts w:ascii="Century Gothic" w:hAnsi="Century Gothic" w:cs="Calibri Light"/>
        </w:rPr>
        <w:t>.</w:t>
      </w:r>
    </w:p>
    <w:p w14:paraId="7C50EF50" w14:textId="31002326" w:rsidR="005D6DD3" w:rsidRPr="00810F4F" w:rsidRDefault="005D6DD3" w:rsidP="00A8085F">
      <w:pPr>
        <w:jc w:val="both"/>
        <w:rPr>
          <w:rFonts w:ascii="Century Gothic" w:hAnsi="Century Gothic" w:cs="Calibri Light"/>
        </w:rPr>
      </w:pPr>
      <w:r w:rsidRPr="00810F4F">
        <w:rPr>
          <w:rFonts w:ascii="Century Gothic" w:hAnsi="Century Gothic" w:cs="Calibri Light"/>
        </w:rPr>
        <w:t xml:space="preserve">Our primary premise for all clients is to ensure, as far as possible, that reasonable income needs are realised at all times. </w:t>
      </w:r>
    </w:p>
    <w:p w14:paraId="4C94AD27" w14:textId="19F89186" w:rsidR="005D6DD3" w:rsidRPr="00810F4F" w:rsidRDefault="00CE043A" w:rsidP="00A8085F">
      <w:pPr>
        <w:jc w:val="both"/>
        <w:rPr>
          <w:rFonts w:ascii="Century Gothic" w:hAnsi="Century Gothic" w:cs="Calibri Light"/>
        </w:rPr>
      </w:pPr>
      <w:r w:rsidRPr="00810F4F">
        <w:rPr>
          <w:rFonts w:ascii="Century Gothic" w:hAnsi="Century Gothic" w:cs="Calibri Light"/>
        </w:rPr>
        <w:t>Consequently,</w:t>
      </w:r>
      <w:r w:rsidR="005D6DD3" w:rsidRPr="00810F4F">
        <w:rPr>
          <w:rFonts w:ascii="Century Gothic" w:hAnsi="Century Gothic" w:cs="Calibri Light"/>
        </w:rPr>
        <w:t xml:space="preserve"> our position is that we will always seek to protect those income need</w:t>
      </w:r>
      <w:r w:rsidR="003B461C" w:rsidRPr="00810F4F">
        <w:rPr>
          <w:rFonts w:ascii="Century Gothic" w:hAnsi="Century Gothic" w:cs="Calibri Light"/>
        </w:rPr>
        <w:t>s</w:t>
      </w:r>
      <w:r w:rsidR="005D6DD3" w:rsidRPr="00810F4F">
        <w:rPr>
          <w:rFonts w:ascii="Century Gothic" w:hAnsi="Century Gothic" w:cs="Calibri Light"/>
        </w:rPr>
        <w:t xml:space="preserve"> first.</w:t>
      </w:r>
    </w:p>
    <w:p w14:paraId="76EDCABA" w14:textId="77777777" w:rsidR="005D6DD3" w:rsidRPr="00810F4F" w:rsidRDefault="005D6DD3" w:rsidP="00A8085F">
      <w:pPr>
        <w:jc w:val="both"/>
        <w:rPr>
          <w:rFonts w:ascii="Century Gothic" w:hAnsi="Century Gothic" w:cs="Calibri Light"/>
        </w:rPr>
      </w:pPr>
      <w:r w:rsidRPr="00810F4F">
        <w:rPr>
          <w:rFonts w:ascii="Century Gothic" w:hAnsi="Century Gothic" w:cs="Calibri Light"/>
        </w:rPr>
        <w:t>Broadly, we deal with the interaction of income needs and investment needs as follows:</w:t>
      </w:r>
    </w:p>
    <w:p w14:paraId="2F3AF75F" w14:textId="77777777" w:rsidR="005D6DD3" w:rsidRPr="00810F4F" w:rsidRDefault="005D6DD3" w:rsidP="00A8085F">
      <w:pPr>
        <w:jc w:val="both"/>
        <w:rPr>
          <w:rFonts w:ascii="Century Gothic" w:hAnsi="Century Gothic"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
        <w:gridCol w:w="2982"/>
        <w:gridCol w:w="1952"/>
        <w:gridCol w:w="1843"/>
        <w:gridCol w:w="1901"/>
      </w:tblGrid>
      <w:tr w:rsidR="00810F4F" w:rsidRPr="00810F4F" w14:paraId="643677A2" w14:textId="77777777" w:rsidTr="00810F4F">
        <w:trPr>
          <w:tblHeader/>
        </w:trPr>
        <w:tc>
          <w:tcPr>
            <w:tcW w:w="329" w:type="dxa"/>
            <w:shd w:val="clear" w:color="auto" w:fill="009193"/>
          </w:tcPr>
          <w:p w14:paraId="0A92FA72" w14:textId="77777777" w:rsidR="00017F83" w:rsidRPr="00810F4F" w:rsidRDefault="00017F83" w:rsidP="00810F4F">
            <w:pPr>
              <w:spacing w:after="0" w:line="240" w:lineRule="auto"/>
              <w:jc w:val="both"/>
              <w:rPr>
                <w:rFonts w:ascii="Century Gothic" w:hAnsi="Century Gothic" w:cs="Calibri Light"/>
                <w:b/>
                <w:color w:val="FFFFFF"/>
              </w:rPr>
            </w:pPr>
          </w:p>
        </w:tc>
        <w:tc>
          <w:tcPr>
            <w:tcW w:w="2988" w:type="dxa"/>
            <w:shd w:val="clear" w:color="auto" w:fill="009193"/>
          </w:tcPr>
          <w:p w14:paraId="1682A2E5" w14:textId="6AF315AA" w:rsidR="00017F83" w:rsidRPr="00810F4F" w:rsidRDefault="00017F83" w:rsidP="00810F4F">
            <w:pPr>
              <w:spacing w:after="0" w:line="240" w:lineRule="auto"/>
              <w:jc w:val="both"/>
              <w:rPr>
                <w:rFonts w:ascii="Century Gothic" w:hAnsi="Century Gothic" w:cs="Calibri Light"/>
                <w:b/>
                <w:color w:val="FFFFFF"/>
              </w:rPr>
            </w:pPr>
            <w:r w:rsidRPr="00810F4F">
              <w:rPr>
                <w:rFonts w:ascii="Century Gothic" w:hAnsi="Century Gothic" w:cs="Calibri Light"/>
                <w:b/>
                <w:color w:val="FFFFFF"/>
              </w:rPr>
              <w:t xml:space="preserve">Income needs serviced </w:t>
            </w:r>
          </w:p>
        </w:tc>
        <w:tc>
          <w:tcPr>
            <w:tcW w:w="1953" w:type="dxa"/>
            <w:shd w:val="clear" w:color="auto" w:fill="009193"/>
          </w:tcPr>
          <w:p w14:paraId="2CAFFA3E" w14:textId="2632F4F2" w:rsidR="00017F83" w:rsidRPr="00810F4F" w:rsidRDefault="00017F83" w:rsidP="00810F4F">
            <w:pPr>
              <w:spacing w:after="0" w:line="240" w:lineRule="auto"/>
              <w:jc w:val="both"/>
              <w:rPr>
                <w:rFonts w:ascii="Century Gothic" w:hAnsi="Century Gothic" w:cs="Calibri Light"/>
                <w:b/>
                <w:color w:val="FFFFFF"/>
              </w:rPr>
            </w:pPr>
            <w:r w:rsidRPr="00810F4F">
              <w:rPr>
                <w:rFonts w:ascii="Century Gothic" w:hAnsi="Century Gothic" w:cs="Calibri Light"/>
                <w:b/>
                <w:color w:val="FFFFFF"/>
              </w:rPr>
              <w:t>Investment needs</w:t>
            </w:r>
          </w:p>
        </w:tc>
        <w:tc>
          <w:tcPr>
            <w:tcW w:w="1844" w:type="dxa"/>
            <w:shd w:val="clear" w:color="auto" w:fill="009193"/>
          </w:tcPr>
          <w:p w14:paraId="761FE833" w14:textId="1BB6C1AF" w:rsidR="00017F83" w:rsidRPr="00810F4F" w:rsidRDefault="00017F83" w:rsidP="00810F4F">
            <w:pPr>
              <w:spacing w:after="0" w:line="240" w:lineRule="auto"/>
              <w:jc w:val="both"/>
              <w:rPr>
                <w:rFonts w:ascii="Century Gothic" w:hAnsi="Century Gothic" w:cs="Calibri Light"/>
                <w:b/>
                <w:color w:val="FFFFFF"/>
              </w:rPr>
            </w:pPr>
            <w:r w:rsidRPr="00810F4F">
              <w:rPr>
                <w:rFonts w:ascii="Century Gothic" w:hAnsi="Century Gothic" w:cs="Calibri Light"/>
                <w:b/>
                <w:color w:val="FFFFFF"/>
              </w:rPr>
              <w:t>Probable products</w:t>
            </w:r>
          </w:p>
        </w:tc>
        <w:tc>
          <w:tcPr>
            <w:tcW w:w="1902" w:type="dxa"/>
            <w:shd w:val="clear" w:color="auto" w:fill="009193"/>
          </w:tcPr>
          <w:p w14:paraId="411BD7E6" w14:textId="1BC7EF78" w:rsidR="00017F83" w:rsidRPr="00810F4F" w:rsidRDefault="00017F83" w:rsidP="00810F4F">
            <w:pPr>
              <w:spacing w:after="0" w:line="240" w:lineRule="auto"/>
              <w:jc w:val="both"/>
              <w:rPr>
                <w:rFonts w:ascii="Century Gothic" w:hAnsi="Century Gothic" w:cs="Calibri Light"/>
                <w:b/>
                <w:color w:val="FFFFFF"/>
              </w:rPr>
            </w:pPr>
            <w:r w:rsidRPr="00810F4F">
              <w:rPr>
                <w:rFonts w:ascii="Century Gothic" w:hAnsi="Century Gothic" w:cs="Calibri Light"/>
                <w:b/>
                <w:color w:val="FFFFFF"/>
              </w:rPr>
              <w:t>Reasons</w:t>
            </w:r>
          </w:p>
        </w:tc>
      </w:tr>
      <w:tr w:rsidR="00810F4F" w:rsidRPr="00810F4F" w14:paraId="58E9AE79" w14:textId="77777777" w:rsidTr="00810F4F">
        <w:tc>
          <w:tcPr>
            <w:tcW w:w="329" w:type="dxa"/>
            <w:shd w:val="clear" w:color="auto" w:fill="auto"/>
            <w:vAlign w:val="center"/>
          </w:tcPr>
          <w:p w14:paraId="3669B159" w14:textId="213A7EB9" w:rsidR="00017F83" w:rsidRPr="00810F4F" w:rsidRDefault="00017F83" w:rsidP="00810F4F">
            <w:pPr>
              <w:spacing w:after="0" w:line="240" w:lineRule="auto"/>
              <w:jc w:val="center"/>
              <w:rPr>
                <w:rFonts w:ascii="Century Gothic" w:hAnsi="Century Gothic" w:cs="Calibri Light"/>
              </w:rPr>
            </w:pPr>
            <w:r w:rsidRPr="00810F4F">
              <w:rPr>
                <w:rFonts w:ascii="Century Gothic" w:hAnsi="Century Gothic" w:cs="Calibri Light"/>
              </w:rPr>
              <w:t>1</w:t>
            </w:r>
          </w:p>
        </w:tc>
        <w:tc>
          <w:tcPr>
            <w:tcW w:w="2988" w:type="dxa"/>
            <w:shd w:val="clear" w:color="auto" w:fill="auto"/>
          </w:tcPr>
          <w:p w14:paraId="18985CF8" w14:textId="439E993E" w:rsidR="00017F83" w:rsidRPr="00810F4F" w:rsidRDefault="00017F83" w:rsidP="00810F4F">
            <w:pPr>
              <w:spacing w:after="0" w:line="240" w:lineRule="auto"/>
              <w:jc w:val="both"/>
              <w:rPr>
                <w:rFonts w:ascii="Century Gothic" w:hAnsi="Century Gothic" w:cs="Calibri Light"/>
              </w:rPr>
            </w:pPr>
            <w:r w:rsidRPr="00810F4F">
              <w:rPr>
                <w:rFonts w:ascii="Century Gothic" w:hAnsi="Century Gothic" w:cs="Calibri Light"/>
              </w:rPr>
              <w:t>100% by guaranteed income</w:t>
            </w:r>
          </w:p>
        </w:tc>
        <w:tc>
          <w:tcPr>
            <w:tcW w:w="1953" w:type="dxa"/>
            <w:shd w:val="clear" w:color="auto" w:fill="auto"/>
          </w:tcPr>
          <w:p w14:paraId="283344C7" w14:textId="5F7CB06F" w:rsidR="00017F83" w:rsidRPr="00810F4F" w:rsidRDefault="00017F83" w:rsidP="00810F4F">
            <w:pPr>
              <w:spacing w:after="0" w:line="240" w:lineRule="auto"/>
              <w:jc w:val="both"/>
              <w:rPr>
                <w:rFonts w:ascii="Century Gothic" w:hAnsi="Century Gothic" w:cs="Calibri Light"/>
              </w:rPr>
            </w:pPr>
            <w:r w:rsidRPr="00810F4F">
              <w:rPr>
                <w:rFonts w:ascii="Century Gothic" w:hAnsi="Century Gothic" w:cs="Calibri Light"/>
              </w:rPr>
              <w:t>Unconstrained other than by the client’s emotional tolerance to investment risk (ATR). There will be no need to invest for growth other than to keep pace with inflation</w:t>
            </w:r>
          </w:p>
        </w:tc>
        <w:tc>
          <w:tcPr>
            <w:tcW w:w="1844" w:type="dxa"/>
            <w:shd w:val="clear" w:color="auto" w:fill="auto"/>
          </w:tcPr>
          <w:p w14:paraId="51E23FFD" w14:textId="7E781CC5" w:rsidR="00017F83" w:rsidRPr="00810F4F" w:rsidRDefault="00017F83" w:rsidP="00810F4F">
            <w:pPr>
              <w:spacing w:after="0" w:line="240" w:lineRule="auto"/>
              <w:jc w:val="both"/>
              <w:rPr>
                <w:rFonts w:ascii="Century Gothic" w:hAnsi="Century Gothic" w:cs="Calibri Light"/>
              </w:rPr>
            </w:pPr>
            <w:r w:rsidRPr="00810F4F">
              <w:rPr>
                <w:rFonts w:ascii="Century Gothic" w:hAnsi="Century Gothic" w:cs="Calibri Light"/>
              </w:rPr>
              <w:t>ISAs, OEICs, Bonds, SIPPs, Drawdown pensions</w:t>
            </w:r>
          </w:p>
        </w:tc>
        <w:tc>
          <w:tcPr>
            <w:tcW w:w="1902" w:type="dxa"/>
            <w:shd w:val="clear" w:color="auto" w:fill="auto"/>
          </w:tcPr>
          <w:p w14:paraId="6FBDA180" w14:textId="5D1A5FFE" w:rsidR="00017F83" w:rsidRPr="00810F4F" w:rsidRDefault="00017F83" w:rsidP="00810F4F">
            <w:pPr>
              <w:spacing w:after="0" w:line="240" w:lineRule="auto"/>
              <w:jc w:val="both"/>
              <w:rPr>
                <w:rFonts w:ascii="Century Gothic" w:hAnsi="Century Gothic" w:cs="Calibri Light"/>
              </w:rPr>
            </w:pPr>
            <w:r w:rsidRPr="00810F4F">
              <w:rPr>
                <w:rFonts w:ascii="Century Gothic" w:hAnsi="Century Gothic" w:cs="Calibri Light"/>
              </w:rPr>
              <w:t>It is unlikely clients</w:t>
            </w:r>
            <w:r w:rsidR="00B62464">
              <w:rPr>
                <w:rFonts w:ascii="Century Gothic" w:hAnsi="Century Gothic" w:cs="Calibri Light"/>
              </w:rPr>
              <w:t>’</w:t>
            </w:r>
            <w:r w:rsidRPr="00810F4F">
              <w:rPr>
                <w:rFonts w:ascii="Century Gothic" w:hAnsi="Century Gothic" w:cs="Calibri Light"/>
              </w:rPr>
              <w:t xml:space="preserve"> investment profiles will change relative to the pre-distribution phase. In the main clients will be capturing tax breaks to distribute to future generations</w:t>
            </w:r>
          </w:p>
        </w:tc>
      </w:tr>
      <w:tr w:rsidR="00810F4F" w:rsidRPr="00810F4F" w14:paraId="26E7C62F" w14:textId="77777777" w:rsidTr="00810F4F">
        <w:tc>
          <w:tcPr>
            <w:tcW w:w="329" w:type="dxa"/>
            <w:shd w:val="clear" w:color="auto" w:fill="auto"/>
            <w:vAlign w:val="center"/>
          </w:tcPr>
          <w:p w14:paraId="22A57D98" w14:textId="5C1C4484" w:rsidR="00017F83" w:rsidRPr="00810F4F" w:rsidRDefault="00017F83" w:rsidP="00810F4F">
            <w:pPr>
              <w:spacing w:after="0" w:line="240" w:lineRule="auto"/>
              <w:jc w:val="center"/>
              <w:rPr>
                <w:rFonts w:ascii="Century Gothic" w:hAnsi="Century Gothic" w:cs="Calibri Light"/>
              </w:rPr>
            </w:pPr>
            <w:r w:rsidRPr="00810F4F">
              <w:rPr>
                <w:rFonts w:ascii="Century Gothic" w:hAnsi="Century Gothic" w:cs="Calibri Light"/>
              </w:rPr>
              <w:t>2</w:t>
            </w:r>
          </w:p>
        </w:tc>
        <w:tc>
          <w:tcPr>
            <w:tcW w:w="2988" w:type="dxa"/>
            <w:shd w:val="clear" w:color="auto" w:fill="auto"/>
          </w:tcPr>
          <w:p w14:paraId="17D74548" w14:textId="0FC5644C" w:rsidR="00017F83" w:rsidRPr="00810F4F" w:rsidRDefault="00017F83" w:rsidP="00810F4F">
            <w:pPr>
              <w:spacing w:after="0" w:line="240" w:lineRule="auto"/>
              <w:jc w:val="both"/>
              <w:rPr>
                <w:rFonts w:ascii="Century Gothic" w:hAnsi="Century Gothic" w:cs="Calibri Light"/>
              </w:rPr>
            </w:pPr>
            <w:r w:rsidRPr="00810F4F">
              <w:rPr>
                <w:rFonts w:ascii="Century Gothic" w:hAnsi="Century Gothic" w:cs="Calibri Light"/>
              </w:rPr>
              <w:t>Only essential living costs are covered by guaranteed income</w:t>
            </w:r>
          </w:p>
        </w:tc>
        <w:tc>
          <w:tcPr>
            <w:tcW w:w="1953" w:type="dxa"/>
            <w:shd w:val="clear" w:color="auto" w:fill="auto"/>
          </w:tcPr>
          <w:p w14:paraId="38898F28" w14:textId="22D5AF88" w:rsidR="00017F83" w:rsidRPr="00810F4F" w:rsidRDefault="00017F83" w:rsidP="00810F4F">
            <w:pPr>
              <w:spacing w:after="0" w:line="240" w:lineRule="auto"/>
              <w:jc w:val="both"/>
              <w:rPr>
                <w:rFonts w:ascii="Century Gothic" w:hAnsi="Century Gothic" w:cs="Calibri Light"/>
              </w:rPr>
            </w:pPr>
            <w:r w:rsidRPr="00810F4F">
              <w:rPr>
                <w:rFonts w:ascii="Century Gothic" w:hAnsi="Century Gothic" w:cs="Calibri Light"/>
              </w:rPr>
              <w:t xml:space="preserve">Investment needs are more complex, and dependent on </w:t>
            </w:r>
            <w:r w:rsidRPr="00810F4F">
              <w:rPr>
                <w:rFonts w:ascii="Century Gothic" w:hAnsi="Century Gothic" w:cs="Calibri Light"/>
              </w:rPr>
              <w:lastRenderedPageBreak/>
              <w:t>the relative importance of clients</w:t>
            </w:r>
            <w:r w:rsidR="00B62464">
              <w:rPr>
                <w:rFonts w:ascii="Century Gothic" w:hAnsi="Century Gothic" w:cs="Calibri Light"/>
              </w:rPr>
              <w:t>’</w:t>
            </w:r>
            <w:r w:rsidRPr="00810F4F">
              <w:rPr>
                <w:rFonts w:ascii="Century Gothic" w:hAnsi="Century Gothic" w:cs="Calibri Light"/>
              </w:rPr>
              <w:t xml:space="preserve"> discretionary income needs. In this case consideration will need to be given to capacity for loss (CFL) as well as ATR. Assets that are not applied in supporting income needs will be unconstrained as in 1 above</w:t>
            </w:r>
          </w:p>
        </w:tc>
        <w:tc>
          <w:tcPr>
            <w:tcW w:w="1844" w:type="dxa"/>
            <w:shd w:val="clear" w:color="auto" w:fill="auto"/>
          </w:tcPr>
          <w:p w14:paraId="1045CD9F" w14:textId="2734DA3A" w:rsidR="00017F83" w:rsidRPr="00810F4F" w:rsidRDefault="00017F83" w:rsidP="00810F4F">
            <w:pPr>
              <w:spacing w:after="0" w:line="240" w:lineRule="auto"/>
              <w:jc w:val="both"/>
              <w:rPr>
                <w:rFonts w:ascii="Century Gothic" w:hAnsi="Century Gothic" w:cs="Calibri Light"/>
              </w:rPr>
            </w:pPr>
            <w:r w:rsidRPr="00810F4F">
              <w:rPr>
                <w:rFonts w:ascii="Century Gothic" w:hAnsi="Century Gothic" w:cs="Calibri Light"/>
              </w:rPr>
              <w:lastRenderedPageBreak/>
              <w:t xml:space="preserve">As above, but will also need to be considered. </w:t>
            </w:r>
          </w:p>
        </w:tc>
        <w:tc>
          <w:tcPr>
            <w:tcW w:w="1902" w:type="dxa"/>
            <w:shd w:val="clear" w:color="auto" w:fill="auto"/>
          </w:tcPr>
          <w:p w14:paraId="60EE094D" w14:textId="250F2F82" w:rsidR="00017F83" w:rsidRPr="00810F4F" w:rsidRDefault="00017F83" w:rsidP="00810F4F">
            <w:pPr>
              <w:spacing w:after="0" w:line="240" w:lineRule="auto"/>
              <w:jc w:val="both"/>
              <w:rPr>
                <w:rFonts w:ascii="Century Gothic" w:hAnsi="Century Gothic" w:cs="Calibri Light"/>
              </w:rPr>
            </w:pPr>
            <w:r w:rsidRPr="00810F4F">
              <w:rPr>
                <w:rFonts w:ascii="Century Gothic" w:hAnsi="Century Gothic" w:cs="Calibri Light"/>
              </w:rPr>
              <w:t xml:space="preserve">In this situation Bonds will, in all probability be used for </w:t>
            </w:r>
            <w:r w:rsidRPr="00810F4F">
              <w:rPr>
                <w:rFonts w:ascii="Century Gothic" w:hAnsi="Century Gothic" w:cs="Calibri Light"/>
              </w:rPr>
              <w:lastRenderedPageBreak/>
              <w:t>income distribution rather than estate planning. Annuitisation of pensions will be considered dependent on the importance of discretionary income to clients.</w:t>
            </w:r>
          </w:p>
        </w:tc>
      </w:tr>
      <w:tr w:rsidR="00810F4F" w:rsidRPr="00810F4F" w14:paraId="6BC270E4" w14:textId="77777777" w:rsidTr="00810F4F">
        <w:tc>
          <w:tcPr>
            <w:tcW w:w="329" w:type="dxa"/>
            <w:shd w:val="clear" w:color="auto" w:fill="auto"/>
            <w:vAlign w:val="center"/>
          </w:tcPr>
          <w:p w14:paraId="631F0A24" w14:textId="437D5677" w:rsidR="00017F83" w:rsidRPr="00810F4F" w:rsidRDefault="00017F83" w:rsidP="00810F4F">
            <w:pPr>
              <w:spacing w:after="0" w:line="240" w:lineRule="auto"/>
              <w:jc w:val="center"/>
              <w:rPr>
                <w:rFonts w:ascii="Century Gothic" w:hAnsi="Century Gothic" w:cs="Calibri Light"/>
              </w:rPr>
            </w:pPr>
            <w:r w:rsidRPr="00810F4F">
              <w:rPr>
                <w:rFonts w:ascii="Century Gothic" w:hAnsi="Century Gothic" w:cs="Calibri Light"/>
              </w:rPr>
              <w:lastRenderedPageBreak/>
              <w:t>3</w:t>
            </w:r>
          </w:p>
        </w:tc>
        <w:tc>
          <w:tcPr>
            <w:tcW w:w="2988" w:type="dxa"/>
            <w:shd w:val="clear" w:color="auto" w:fill="auto"/>
          </w:tcPr>
          <w:p w14:paraId="24AAD28A" w14:textId="41CFFCB9" w:rsidR="00017F83" w:rsidRPr="00810F4F" w:rsidRDefault="00017F83" w:rsidP="00810F4F">
            <w:pPr>
              <w:spacing w:after="0" w:line="240" w:lineRule="auto"/>
              <w:jc w:val="both"/>
              <w:rPr>
                <w:rFonts w:ascii="Century Gothic" w:hAnsi="Century Gothic" w:cs="Calibri Light"/>
              </w:rPr>
            </w:pPr>
            <w:r w:rsidRPr="00810F4F">
              <w:rPr>
                <w:rFonts w:ascii="Century Gothic" w:hAnsi="Century Gothic" w:cs="Calibri Light"/>
              </w:rPr>
              <w:t>No income is guaranteed other than SPs and this doesn’t cover essential income needs</w:t>
            </w:r>
          </w:p>
        </w:tc>
        <w:tc>
          <w:tcPr>
            <w:tcW w:w="1953" w:type="dxa"/>
            <w:shd w:val="clear" w:color="auto" w:fill="auto"/>
          </w:tcPr>
          <w:p w14:paraId="485BCD53" w14:textId="1D7FCB4D" w:rsidR="00017F83" w:rsidRPr="00810F4F" w:rsidRDefault="00017F83" w:rsidP="00810F4F">
            <w:pPr>
              <w:spacing w:after="0" w:line="240" w:lineRule="auto"/>
              <w:jc w:val="both"/>
              <w:rPr>
                <w:rFonts w:ascii="Century Gothic" w:hAnsi="Century Gothic" w:cs="Calibri Light"/>
              </w:rPr>
            </w:pPr>
            <w:r w:rsidRPr="00810F4F">
              <w:rPr>
                <w:rFonts w:ascii="Century Gothic" w:hAnsi="Century Gothic" w:cs="Calibri Light"/>
              </w:rPr>
              <w:t>Again, investment needs are likely to be complex. Investment asset allocations will be dependent on the size of the asset pool, the deployment of assets to satisfy income needs, and inherent client ATR</w:t>
            </w:r>
          </w:p>
        </w:tc>
        <w:tc>
          <w:tcPr>
            <w:tcW w:w="1844" w:type="dxa"/>
            <w:shd w:val="clear" w:color="auto" w:fill="auto"/>
          </w:tcPr>
          <w:p w14:paraId="04E0D727" w14:textId="18E54D20" w:rsidR="00017F83" w:rsidRPr="00810F4F" w:rsidRDefault="00017F83" w:rsidP="00810F4F">
            <w:pPr>
              <w:spacing w:after="0" w:line="240" w:lineRule="auto"/>
              <w:jc w:val="both"/>
              <w:rPr>
                <w:rFonts w:ascii="Century Gothic" w:hAnsi="Century Gothic" w:cs="Calibri Light"/>
              </w:rPr>
            </w:pPr>
            <w:r w:rsidRPr="00810F4F">
              <w:rPr>
                <w:rFonts w:ascii="Century Gothic" w:hAnsi="Century Gothic" w:cs="Calibri Light"/>
              </w:rPr>
              <w:t>As above</w:t>
            </w:r>
          </w:p>
        </w:tc>
        <w:tc>
          <w:tcPr>
            <w:tcW w:w="1902" w:type="dxa"/>
            <w:shd w:val="clear" w:color="auto" w:fill="auto"/>
          </w:tcPr>
          <w:p w14:paraId="40AA9928" w14:textId="5E2E7EAE" w:rsidR="00017F83" w:rsidRPr="00810F4F" w:rsidRDefault="00017F83" w:rsidP="00810F4F">
            <w:pPr>
              <w:spacing w:after="0" w:line="240" w:lineRule="auto"/>
              <w:jc w:val="both"/>
              <w:rPr>
                <w:rFonts w:ascii="Century Gothic" w:hAnsi="Century Gothic" w:cs="Calibri Light"/>
              </w:rPr>
            </w:pPr>
            <w:r w:rsidRPr="00810F4F">
              <w:rPr>
                <w:rFonts w:ascii="Century Gothic" w:hAnsi="Century Gothic" w:cs="Calibri Light"/>
              </w:rPr>
              <w:t>As above</w:t>
            </w:r>
          </w:p>
        </w:tc>
      </w:tr>
    </w:tbl>
    <w:p w14:paraId="5BDA0989" w14:textId="77777777" w:rsidR="005D6DD3" w:rsidRPr="00810F4F" w:rsidRDefault="005D6DD3" w:rsidP="00A8085F">
      <w:pPr>
        <w:jc w:val="both"/>
        <w:rPr>
          <w:rFonts w:ascii="Century Gothic" w:hAnsi="Century Gothic" w:cs="Calibri Light"/>
        </w:rPr>
      </w:pPr>
    </w:p>
    <w:p w14:paraId="2E64B757" w14:textId="4C8ED471" w:rsidR="00D64DF1" w:rsidRPr="00810F4F" w:rsidRDefault="00D64DF1" w:rsidP="00A8085F">
      <w:pPr>
        <w:jc w:val="both"/>
        <w:rPr>
          <w:rFonts w:ascii="Century Gothic" w:hAnsi="Century Gothic" w:cs="Calibri Light"/>
        </w:rPr>
      </w:pPr>
      <w:r w:rsidRPr="00810F4F">
        <w:rPr>
          <w:rFonts w:ascii="Century Gothic" w:hAnsi="Century Gothic" w:cs="Calibri Light"/>
        </w:rPr>
        <w:t xml:space="preserve">There is no one size fits all process employed and regular reviews </w:t>
      </w:r>
      <w:r w:rsidR="00A8085F" w:rsidRPr="00810F4F">
        <w:rPr>
          <w:rFonts w:ascii="Century Gothic" w:hAnsi="Century Gothic" w:cs="Calibri Light"/>
        </w:rPr>
        <w:t>are</w:t>
      </w:r>
      <w:r w:rsidRPr="00810F4F">
        <w:rPr>
          <w:rFonts w:ascii="Century Gothic" w:hAnsi="Century Gothic" w:cs="Calibri Light"/>
        </w:rPr>
        <w:t xml:space="preserve"> a key part of the CRP and integral within </w:t>
      </w:r>
      <w:r w:rsidR="003B461C" w:rsidRPr="00810F4F">
        <w:rPr>
          <w:rFonts w:ascii="Century Gothic" w:hAnsi="Century Gothic" w:cs="Calibri Light"/>
        </w:rPr>
        <w:t xml:space="preserve">our </w:t>
      </w:r>
      <w:r w:rsidRPr="00810F4F">
        <w:rPr>
          <w:rFonts w:ascii="Century Gothic" w:hAnsi="Century Gothic" w:cs="Calibri Light"/>
        </w:rPr>
        <w:t>culture throughout every life stage.</w:t>
      </w:r>
    </w:p>
    <w:p w14:paraId="47528EC4" w14:textId="5D8E5F79" w:rsidR="00241BE3" w:rsidRDefault="00241BE3" w:rsidP="00A8085F">
      <w:pPr>
        <w:jc w:val="both"/>
        <w:rPr>
          <w:rFonts w:ascii="Century Gothic" w:hAnsi="Century Gothic" w:cs="Calibri Light"/>
          <w:i/>
          <w:u w:val="single"/>
        </w:rPr>
      </w:pPr>
    </w:p>
    <w:p w14:paraId="1335C81B" w14:textId="6E472951" w:rsidR="006702FB" w:rsidRDefault="000C3EC5" w:rsidP="00A8085F">
      <w:pPr>
        <w:jc w:val="both"/>
        <w:rPr>
          <w:rFonts w:ascii="Century Gothic" w:hAnsi="Century Gothic" w:cs="Calibri Light"/>
          <w:i/>
          <w:highlight w:val="yellow"/>
          <w:u w:val="single"/>
        </w:rPr>
      </w:pPr>
      <w:r w:rsidRPr="000C3EC5">
        <w:rPr>
          <w:rFonts w:ascii="Century Gothic" w:hAnsi="Century Gothic" w:cs="Calibri Light"/>
          <w:i/>
          <w:highlight w:val="yellow"/>
          <w:u w:val="single"/>
        </w:rPr>
        <w:t>Regarding investment pathways:</w:t>
      </w:r>
    </w:p>
    <w:p w14:paraId="699E0588" w14:textId="106B9501" w:rsidR="006702FB" w:rsidRPr="000C3EC5" w:rsidRDefault="006702FB" w:rsidP="006702FB">
      <w:pPr>
        <w:jc w:val="both"/>
        <w:rPr>
          <w:rFonts w:ascii="Century Gothic" w:hAnsi="Century Gothic" w:cs="Calibri Light"/>
          <w:iCs/>
        </w:rPr>
      </w:pPr>
      <w:r w:rsidRPr="000C3EC5">
        <w:rPr>
          <w:rFonts w:ascii="Century Gothic" w:hAnsi="Century Gothic" w:cs="Calibri Light"/>
          <w:iCs/>
          <w:highlight w:val="yellow"/>
        </w:rPr>
        <w:t>Investment pathways are meant for non-advised clients. However, please note the definition of a non-advised client is one who hasn’t received any investment drawdown advice in the last 12 months. Providers assure us that if there is an adviser tagged to the drawdown account, the client won’t be approached. Our position is to take that decision away from the provider by keeping clients fully informed.</w:t>
      </w:r>
    </w:p>
    <w:p w14:paraId="6E7A6C6A" w14:textId="77777777" w:rsidR="006702FB" w:rsidRPr="000C3EC5" w:rsidRDefault="006702FB" w:rsidP="00A8085F">
      <w:pPr>
        <w:jc w:val="both"/>
        <w:rPr>
          <w:rFonts w:ascii="Century Gothic" w:hAnsi="Century Gothic" w:cs="Calibri Light"/>
          <w:i/>
          <w:highlight w:val="yellow"/>
          <w:u w:val="single"/>
        </w:rPr>
      </w:pPr>
    </w:p>
    <w:p w14:paraId="07C50ACD" w14:textId="5CF6BA34" w:rsidR="000C3EC5" w:rsidRPr="000C3EC5" w:rsidRDefault="000C3EC5" w:rsidP="00A8085F">
      <w:pPr>
        <w:jc w:val="both"/>
        <w:rPr>
          <w:rFonts w:ascii="Century Gothic" w:hAnsi="Century Gothic" w:cs="Calibri Light"/>
          <w:iCs/>
          <w:highlight w:val="yellow"/>
        </w:rPr>
      </w:pPr>
      <w:r w:rsidRPr="000C3EC5">
        <w:rPr>
          <w:rFonts w:ascii="Century Gothic" w:hAnsi="Century Gothic" w:cs="Calibri Light"/>
          <w:iCs/>
          <w:highlight w:val="yellow"/>
        </w:rPr>
        <w:lastRenderedPageBreak/>
        <w:t>With effect from 1 February 2021, investment pathways are a default provider option for clients going in to an investment decision when in</w:t>
      </w:r>
      <w:r w:rsidR="006702FB">
        <w:rPr>
          <w:rFonts w:ascii="Century Gothic" w:hAnsi="Century Gothic" w:cs="Calibri Light"/>
          <w:iCs/>
          <w:highlight w:val="yellow"/>
        </w:rPr>
        <w:t xml:space="preserve"> pension</w:t>
      </w:r>
      <w:r w:rsidRPr="000C3EC5">
        <w:rPr>
          <w:rFonts w:ascii="Century Gothic" w:hAnsi="Century Gothic" w:cs="Calibri Light"/>
          <w:iCs/>
          <w:highlight w:val="yellow"/>
        </w:rPr>
        <w:t xml:space="preserve"> drawdown.</w:t>
      </w:r>
    </w:p>
    <w:p w14:paraId="3092C24E" w14:textId="3B08EC61" w:rsidR="006702FB" w:rsidRDefault="000C3EC5" w:rsidP="00A8085F">
      <w:pPr>
        <w:jc w:val="both"/>
        <w:rPr>
          <w:rFonts w:ascii="Century Gothic" w:hAnsi="Century Gothic" w:cs="Calibri Light"/>
          <w:iCs/>
          <w:highlight w:val="yellow"/>
        </w:rPr>
      </w:pPr>
      <w:r w:rsidRPr="000C3EC5">
        <w:rPr>
          <w:rFonts w:ascii="Century Gothic" w:hAnsi="Century Gothic" w:cs="Calibri Light"/>
          <w:iCs/>
          <w:highlight w:val="yellow"/>
        </w:rPr>
        <w:t xml:space="preserve">As advisers we consider this option alongside our </w:t>
      </w:r>
      <w:r w:rsidR="006702FB">
        <w:rPr>
          <w:rFonts w:ascii="Century Gothic" w:hAnsi="Century Gothic" w:cs="Calibri Light"/>
          <w:iCs/>
          <w:highlight w:val="yellow"/>
        </w:rPr>
        <w:t>firm specific retirement planning solution for clients.</w:t>
      </w:r>
    </w:p>
    <w:p w14:paraId="26E9A975" w14:textId="6A8E768E" w:rsidR="000C3EC5" w:rsidRPr="000C3EC5" w:rsidRDefault="006702FB" w:rsidP="00A8085F">
      <w:pPr>
        <w:jc w:val="both"/>
        <w:rPr>
          <w:rFonts w:ascii="Century Gothic" w:hAnsi="Century Gothic" w:cs="Calibri Light"/>
          <w:iCs/>
          <w:highlight w:val="yellow"/>
        </w:rPr>
      </w:pPr>
      <w:r>
        <w:rPr>
          <w:rFonts w:ascii="Century Gothic" w:hAnsi="Century Gothic" w:cs="Calibri Light"/>
          <w:iCs/>
          <w:highlight w:val="yellow"/>
        </w:rPr>
        <w:t>Our findings are that t</w:t>
      </w:r>
      <w:r w:rsidR="000C3EC5" w:rsidRPr="000C3EC5">
        <w:rPr>
          <w:rFonts w:ascii="Century Gothic" w:hAnsi="Century Gothic" w:cs="Calibri Light"/>
          <w:iCs/>
          <w:highlight w:val="yellow"/>
        </w:rPr>
        <w:t xml:space="preserve">he options providers provide </w:t>
      </w:r>
    </w:p>
    <w:p w14:paraId="16D01F96" w14:textId="62B85186" w:rsidR="000C3EC5" w:rsidRPr="000C3EC5" w:rsidRDefault="000C3EC5" w:rsidP="000C3EC5">
      <w:pPr>
        <w:pStyle w:val="ListParagraph"/>
        <w:numPr>
          <w:ilvl w:val="0"/>
          <w:numId w:val="2"/>
        </w:numPr>
        <w:jc w:val="both"/>
        <w:rPr>
          <w:rFonts w:ascii="Century Gothic" w:hAnsi="Century Gothic" w:cs="Calibri Light"/>
          <w:iCs/>
          <w:highlight w:val="yellow"/>
        </w:rPr>
      </w:pPr>
      <w:r w:rsidRPr="000C3EC5">
        <w:rPr>
          <w:rFonts w:ascii="Century Gothic" w:hAnsi="Century Gothic" w:cs="Calibri Light"/>
          <w:iCs/>
          <w:highlight w:val="yellow"/>
        </w:rPr>
        <w:t>Bear no asset allocation resemblance to ours;</w:t>
      </w:r>
    </w:p>
    <w:p w14:paraId="7BE24397" w14:textId="4BB66D77" w:rsidR="000C3EC5" w:rsidRPr="000C3EC5" w:rsidRDefault="000C3EC5" w:rsidP="000C3EC5">
      <w:pPr>
        <w:pStyle w:val="ListParagraph"/>
        <w:numPr>
          <w:ilvl w:val="0"/>
          <w:numId w:val="2"/>
        </w:numPr>
        <w:jc w:val="both"/>
        <w:rPr>
          <w:rFonts w:ascii="Century Gothic" w:hAnsi="Century Gothic" w:cs="Calibri Light"/>
          <w:iCs/>
          <w:highlight w:val="yellow"/>
        </w:rPr>
      </w:pPr>
      <w:r w:rsidRPr="000C3EC5">
        <w:rPr>
          <w:rFonts w:ascii="Century Gothic" w:hAnsi="Century Gothic" w:cs="Calibri Light"/>
          <w:iCs/>
          <w:highlight w:val="yellow"/>
        </w:rPr>
        <w:t>Bear no fund resemblance to ours;</w:t>
      </w:r>
    </w:p>
    <w:p w14:paraId="3092400E" w14:textId="54C89949" w:rsidR="000C3EC5" w:rsidRPr="000C3EC5" w:rsidRDefault="000C3EC5" w:rsidP="000C3EC5">
      <w:pPr>
        <w:pStyle w:val="ListParagraph"/>
        <w:numPr>
          <w:ilvl w:val="0"/>
          <w:numId w:val="2"/>
        </w:numPr>
        <w:jc w:val="both"/>
        <w:rPr>
          <w:rFonts w:ascii="Century Gothic" w:hAnsi="Century Gothic" w:cs="Calibri Light"/>
          <w:iCs/>
          <w:highlight w:val="yellow"/>
        </w:rPr>
      </w:pPr>
      <w:r w:rsidRPr="000C3EC5">
        <w:rPr>
          <w:rFonts w:ascii="Century Gothic" w:hAnsi="Century Gothic" w:cs="Calibri Light"/>
          <w:iCs/>
          <w:highlight w:val="yellow"/>
        </w:rPr>
        <w:t xml:space="preserve">Take no account of our overall </w:t>
      </w:r>
      <w:r w:rsidR="006702FB">
        <w:rPr>
          <w:rFonts w:ascii="Century Gothic" w:hAnsi="Century Gothic" w:cs="Calibri Light"/>
          <w:iCs/>
          <w:highlight w:val="yellow"/>
        </w:rPr>
        <w:t xml:space="preserve">cross-product </w:t>
      </w:r>
      <w:r w:rsidRPr="000C3EC5">
        <w:rPr>
          <w:rFonts w:ascii="Century Gothic" w:hAnsi="Century Gothic" w:cs="Calibri Light"/>
          <w:iCs/>
          <w:highlight w:val="yellow"/>
        </w:rPr>
        <w:t>client retirement management strategy;</w:t>
      </w:r>
    </w:p>
    <w:p w14:paraId="505DBB16" w14:textId="47A83935" w:rsidR="000C3EC5" w:rsidRPr="000C3EC5" w:rsidRDefault="006702FB" w:rsidP="000C3EC5">
      <w:pPr>
        <w:pStyle w:val="ListParagraph"/>
        <w:numPr>
          <w:ilvl w:val="0"/>
          <w:numId w:val="2"/>
        </w:numPr>
        <w:jc w:val="both"/>
        <w:rPr>
          <w:rFonts w:ascii="Century Gothic" w:hAnsi="Century Gothic" w:cs="Calibri Light"/>
          <w:iCs/>
          <w:highlight w:val="yellow"/>
        </w:rPr>
      </w:pPr>
      <w:r>
        <w:rPr>
          <w:rFonts w:ascii="Century Gothic" w:hAnsi="Century Gothic" w:cs="Calibri Light"/>
          <w:iCs/>
          <w:highlight w:val="yellow"/>
        </w:rPr>
        <w:t>Solutions that cost</w:t>
      </w:r>
      <w:r w:rsidR="000C3EC5" w:rsidRPr="000C3EC5">
        <w:rPr>
          <w:rFonts w:ascii="Century Gothic" w:hAnsi="Century Gothic" w:cs="Calibri Light"/>
          <w:iCs/>
          <w:highlight w:val="yellow"/>
        </w:rPr>
        <w:t xml:space="preserve"> no more than </w:t>
      </w:r>
      <w:r>
        <w:rPr>
          <w:rFonts w:ascii="Century Gothic" w:hAnsi="Century Gothic" w:cs="Calibri Light"/>
          <w:iCs/>
          <w:highlight w:val="yellow"/>
        </w:rPr>
        <w:t>75</w:t>
      </w:r>
      <w:r w:rsidR="000C3EC5" w:rsidRPr="000C3EC5">
        <w:rPr>
          <w:rFonts w:ascii="Century Gothic" w:hAnsi="Century Gothic" w:cs="Calibri Light"/>
          <w:iCs/>
          <w:highlight w:val="yellow"/>
        </w:rPr>
        <w:t>bps;</w:t>
      </w:r>
    </w:p>
    <w:p w14:paraId="729D8903" w14:textId="6528E89C" w:rsidR="000C3EC5" w:rsidRPr="000C3EC5" w:rsidRDefault="000C3EC5" w:rsidP="00A8085F">
      <w:pPr>
        <w:jc w:val="both"/>
        <w:rPr>
          <w:rFonts w:ascii="Century Gothic" w:hAnsi="Century Gothic" w:cs="Calibri Light"/>
          <w:iCs/>
          <w:highlight w:val="yellow"/>
        </w:rPr>
      </w:pPr>
      <w:r w:rsidRPr="000C3EC5">
        <w:rPr>
          <w:rFonts w:ascii="Century Gothic" w:hAnsi="Century Gothic" w:cs="Calibri Light"/>
          <w:iCs/>
          <w:highlight w:val="yellow"/>
        </w:rPr>
        <w:t>Our position regarding investment pathways is therefore as follows:</w:t>
      </w:r>
    </w:p>
    <w:p w14:paraId="6D708342" w14:textId="3AE98653" w:rsidR="000C3EC5" w:rsidRPr="000C3EC5" w:rsidRDefault="000C3EC5" w:rsidP="000C3EC5">
      <w:pPr>
        <w:pStyle w:val="ListParagraph"/>
        <w:numPr>
          <w:ilvl w:val="0"/>
          <w:numId w:val="3"/>
        </w:numPr>
        <w:jc w:val="both"/>
        <w:rPr>
          <w:rFonts w:ascii="Century Gothic" w:hAnsi="Century Gothic" w:cs="Calibri Light"/>
          <w:iCs/>
          <w:highlight w:val="yellow"/>
        </w:rPr>
      </w:pPr>
      <w:r w:rsidRPr="000C3EC5">
        <w:rPr>
          <w:rFonts w:ascii="Century Gothic" w:hAnsi="Century Gothic" w:cs="Calibri Light"/>
          <w:iCs/>
          <w:highlight w:val="yellow"/>
        </w:rPr>
        <w:t>To layer a second strategy alongside ours for the sake of cost, is very unlikely to be beneficial to the client;</w:t>
      </w:r>
    </w:p>
    <w:p w14:paraId="2BD2ED5A" w14:textId="71715370" w:rsidR="000C3EC5" w:rsidRPr="000C3EC5" w:rsidRDefault="000C3EC5" w:rsidP="000C3EC5">
      <w:pPr>
        <w:pStyle w:val="ListParagraph"/>
        <w:numPr>
          <w:ilvl w:val="0"/>
          <w:numId w:val="3"/>
        </w:numPr>
        <w:jc w:val="both"/>
        <w:rPr>
          <w:rFonts w:ascii="Century Gothic" w:hAnsi="Century Gothic" w:cs="Calibri Light"/>
          <w:iCs/>
          <w:highlight w:val="yellow"/>
        </w:rPr>
      </w:pPr>
      <w:r w:rsidRPr="000C3EC5">
        <w:rPr>
          <w:rFonts w:ascii="Century Gothic" w:hAnsi="Century Gothic" w:cs="Calibri Light"/>
          <w:iCs/>
          <w:highlight w:val="yellow"/>
        </w:rPr>
        <w:t>The cost of the pathway ignores advice costs, which is critical to managing retirement income for our clients;</w:t>
      </w:r>
    </w:p>
    <w:p w14:paraId="239AEF5E" w14:textId="56163E4A" w:rsidR="000C3EC5" w:rsidRPr="000C3EC5" w:rsidRDefault="000C3EC5" w:rsidP="00A8085F">
      <w:pPr>
        <w:jc w:val="both"/>
        <w:rPr>
          <w:rFonts w:ascii="Century Gothic" w:hAnsi="Century Gothic" w:cs="Calibri Light"/>
          <w:iCs/>
          <w:highlight w:val="yellow"/>
        </w:rPr>
      </w:pPr>
      <w:r w:rsidRPr="000C3EC5">
        <w:rPr>
          <w:rFonts w:ascii="Century Gothic" w:hAnsi="Century Gothic" w:cs="Calibri Light"/>
          <w:iCs/>
          <w:highlight w:val="yellow"/>
        </w:rPr>
        <w:t xml:space="preserve">In spite of this we will consider the investment pathway option on a </w:t>
      </w:r>
      <w:r w:rsidR="00B62464" w:rsidRPr="000C3EC5">
        <w:rPr>
          <w:rFonts w:ascii="Century Gothic" w:hAnsi="Century Gothic" w:cs="Calibri Light"/>
          <w:iCs/>
          <w:highlight w:val="yellow"/>
        </w:rPr>
        <w:t>case-by-case</w:t>
      </w:r>
      <w:r w:rsidRPr="000C3EC5">
        <w:rPr>
          <w:rFonts w:ascii="Century Gothic" w:hAnsi="Century Gothic" w:cs="Calibri Light"/>
          <w:iCs/>
          <w:highlight w:val="yellow"/>
        </w:rPr>
        <w:t xml:space="preserve"> basis.</w:t>
      </w:r>
    </w:p>
    <w:p w14:paraId="648F6FD0" w14:textId="77777777" w:rsidR="000C3EC5" w:rsidRPr="00810F4F" w:rsidRDefault="000C3EC5" w:rsidP="00A8085F">
      <w:pPr>
        <w:jc w:val="both"/>
        <w:rPr>
          <w:rFonts w:ascii="Century Gothic" w:hAnsi="Century Gothic" w:cs="Calibri Light"/>
          <w:i/>
          <w:u w:val="single"/>
        </w:rPr>
      </w:pPr>
    </w:p>
    <w:p w14:paraId="0048F86F" w14:textId="6181B03A" w:rsidR="00017F83" w:rsidRPr="00EA0462" w:rsidRDefault="00017F83" w:rsidP="00A8085F">
      <w:pPr>
        <w:jc w:val="both"/>
        <w:rPr>
          <w:rFonts w:ascii="Century Gothic" w:hAnsi="Century Gothic" w:cs="Calibri Light"/>
          <w:b/>
          <w:bCs/>
          <w:i/>
          <w:u w:val="single"/>
        </w:rPr>
      </w:pPr>
      <w:r w:rsidRPr="00EA0462">
        <w:rPr>
          <w:rFonts w:ascii="Century Gothic" w:hAnsi="Century Gothic" w:cs="Calibri Light"/>
          <w:b/>
          <w:bCs/>
          <w:i/>
          <w:u w:val="single"/>
        </w:rPr>
        <w:t>The ATR and CFL risk dynamic</w:t>
      </w:r>
    </w:p>
    <w:p w14:paraId="007484CC" w14:textId="03C7CEFD" w:rsidR="00C4779A" w:rsidRDefault="00017F83" w:rsidP="00A8085F">
      <w:pPr>
        <w:jc w:val="both"/>
        <w:rPr>
          <w:rFonts w:ascii="Century Gothic" w:hAnsi="Century Gothic" w:cs="Calibri Light"/>
        </w:rPr>
      </w:pPr>
      <w:r w:rsidRPr="00810F4F">
        <w:rPr>
          <w:rFonts w:ascii="Century Gothic" w:hAnsi="Century Gothic" w:cs="Calibri Light"/>
        </w:rPr>
        <w:t>Again broadly, our view of the above can be categorised as follows</w:t>
      </w:r>
      <w:r w:rsidR="009D27EB">
        <w:rPr>
          <w:rFonts w:ascii="Century Gothic" w:hAnsi="Century Gothic" w:cs="Calibri Light"/>
        </w:rPr>
        <w:t xml:space="preserve"> </w:t>
      </w:r>
    </w:p>
    <w:p w14:paraId="44DD8C16" w14:textId="0253F955" w:rsidR="00C4779A" w:rsidRDefault="00C4779A" w:rsidP="00A8085F">
      <w:pPr>
        <w:jc w:val="both"/>
        <w:rPr>
          <w:rFonts w:ascii="Century Gothic" w:hAnsi="Century Gothic" w:cs="Calibri Light"/>
        </w:rPr>
      </w:pPr>
    </w:p>
    <w:p w14:paraId="38E7BD29" w14:textId="28575609" w:rsidR="00C4779A" w:rsidRPr="00C4779A" w:rsidRDefault="00C4779A" w:rsidP="00A8085F">
      <w:pPr>
        <w:jc w:val="both"/>
        <w:rPr>
          <w:rFonts w:ascii="Century Gothic" w:hAnsi="Century Gothic" w:cs="Calibri Light"/>
          <w:color w:val="FF0000"/>
        </w:rPr>
      </w:pPr>
      <w:r w:rsidRPr="00C4779A">
        <w:rPr>
          <w:rFonts w:ascii="Century Gothic" w:hAnsi="Century Gothic" w:cs="Calibri Light"/>
          <w:color w:val="FF0000"/>
        </w:rPr>
        <w:t>Example</w:t>
      </w:r>
    </w:p>
    <w:tbl>
      <w:tblPr>
        <w:tblW w:w="5000" w:type="pct"/>
        <w:tblLook w:val="04A0" w:firstRow="1" w:lastRow="0" w:firstColumn="1" w:lastColumn="0" w:noHBand="0" w:noVBand="1"/>
      </w:tblPr>
      <w:tblGrid>
        <w:gridCol w:w="1320"/>
        <w:gridCol w:w="2073"/>
        <w:gridCol w:w="2961"/>
        <w:gridCol w:w="2667"/>
      </w:tblGrid>
      <w:tr w:rsidR="00CE043A" w:rsidRPr="00810F4F" w14:paraId="20C11C1C" w14:textId="77777777" w:rsidTr="00CE043A">
        <w:trPr>
          <w:trHeight w:val="520"/>
          <w:tblHeader/>
        </w:trPr>
        <w:tc>
          <w:tcPr>
            <w:tcW w:w="732" w:type="pct"/>
            <w:tcBorders>
              <w:top w:val="nil"/>
              <w:left w:val="nil"/>
              <w:bottom w:val="nil"/>
              <w:right w:val="nil"/>
            </w:tcBorders>
            <w:shd w:val="clear" w:color="auto" w:fill="009193"/>
            <w:vAlign w:val="center"/>
            <w:hideMark/>
          </w:tcPr>
          <w:p w14:paraId="5B504D1B" w14:textId="77777777" w:rsidR="00485F49" w:rsidRPr="00810F4F" w:rsidRDefault="00485F49" w:rsidP="005941DF">
            <w:pPr>
              <w:jc w:val="center"/>
              <w:rPr>
                <w:rFonts w:ascii="Century Gothic" w:hAnsi="Century Gothic"/>
                <w:b/>
                <w:color w:val="FFFFFF"/>
                <w:sz w:val="20"/>
                <w:szCs w:val="20"/>
                <w:lang w:val="en-US"/>
              </w:rPr>
            </w:pPr>
            <w:r w:rsidRPr="00810F4F">
              <w:rPr>
                <w:rFonts w:ascii="Century Gothic" w:hAnsi="Century Gothic"/>
                <w:b/>
                <w:color w:val="FFFFFF"/>
                <w:sz w:val="20"/>
                <w:szCs w:val="20"/>
                <w:lang w:val="en-US"/>
              </w:rPr>
              <w:t>Risk Level</w:t>
            </w:r>
          </w:p>
        </w:tc>
        <w:tc>
          <w:tcPr>
            <w:tcW w:w="1149" w:type="pct"/>
            <w:tcBorders>
              <w:top w:val="single" w:sz="4" w:space="0" w:color="auto"/>
              <w:left w:val="single" w:sz="4" w:space="0" w:color="auto"/>
              <w:bottom w:val="single" w:sz="4" w:space="0" w:color="auto"/>
              <w:right w:val="single" w:sz="4" w:space="0" w:color="auto"/>
            </w:tcBorders>
            <w:shd w:val="clear" w:color="auto" w:fill="009193"/>
            <w:vAlign w:val="center"/>
            <w:hideMark/>
          </w:tcPr>
          <w:p w14:paraId="32AAEF0F" w14:textId="77777777" w:rsidR="00485F49" w:rsidRPr="00810F4F" w:rsidRDefault="00485F49" w:rsidP="005941DF">
            <w:pPr>
              <w:jc w:val="center"/>
              <w:rPr>
                <w:rFonts w:ascii="Century Gothic" w:eastAsia="Times New Roman" w:hAnsi="Century Gothic"/>
                <w:b/>
                <w:bCs/>
                <w:color w:val="FFFFFF"/>
                <w:sz w:val="20"/>
                <w:szCs w:val="20"/>
                <w:lang w:val="en-US"/>
              </w:rPr>
            </w:pPr>
            <w:r w:rsidRPr="00810F4F">
              <w:rPr>
                <w:rFonts w:ascii="Century Gothic" w:eastAsia="Times New Roman" w:hAnsi="Century Gothic"/>
                <w:b/>
                <w:bCs/>
                <w:color w:val="FFFFFF"/>
                <w:sz w:val="20"/>
                <w:szCs w:val="20"/>
                <w:lang w:val="en-US"/>
              </w:rPr>
              <w:t>Risk descriptions</w:t>
            </w:r>
          </w:p>
        </w:tc>
        <w:tc>
          <w:tcPr>
            <w:tcW w:w="1641" w:type="pct"/>
            <w:tcBorders>
              <w:top w:val="single" w:sz="4" w:space="0" w:color="auto"/>
              <w:left w:val="nil"/>
              <w:bottom w:val="single" w:sz="4" w:space="0" w:color="auto"/>
              <w:right w:val="single" w:sz="4" w:space="0" w:color="auto"/>
            </w:tcBorders>
            <w:shd w:val="clear" w:color="auto" w:fill="009193"/>
            <w:vAlign w:val="center"/>
            <w:hideMark/>
          </w:tcPr>
          <w:p w14:paraId="62A1DBA7" w14:textId="77777777" w:rsidR="00485F49" w:rsidRPr="00810F4F" w:rsidRDefault="00485F49" w:rsidP="005941DF">
            <w:pPr>
              <w:jc w:val="center"/>
              <w:rPr>
                <w:rFonts w:ascii="Century Gothic" w:eastAsia="Times New Roman" w:hAnsi="Century Gothic"/>
                <w:b/>
                <w:bCs/>
                <w:color w:val="FFFFFF"/>
                <w:sz w:val="20"/>
                <w:szCs w:val="20"/>
                <w:lang w:val="en-US"/>
              </w:rPr>
            </w:pPr>
            <w:r w:rsidRPr="00810F4F">
              <w:rPr>
                <w:rFonts w:ascii="Century Gothic" w:eastAsia="Times New Roman" w:hAnsi="Century Gothic"/>
                <w:b/>
                <w:bCs/>
                <w:color w:val="FFFFFF"/>
                <w:sz w:val="20"/>
                <w:szCs w:val="20"/>
                <w:lang w:val="en-US"/>
              </w:rPr>
              <w:t>Risk consequences</w:t>
            </w:r>
          </w:p>
        </w:tc>
        <w:tc>
          <w:tcPr>
            <w:tcW w:w="1478" w:type="pct"/>
            <w:tcBorders>
              <w:top w:val="single" w:sz="4" w:space="0" w:color="auto"/>
              <w:left w:val="nil"/>
              <w:bottom w:val="single" w:sz="4" w:space="0" w:color="auto"/>
              <w:right w:val="single" w:sz="4" w:space="0" w:color="auto"/>
            </w:tcBorders>
            <w:shd w:val="clear" w:color="auto" w:fill="009193"/>
            <w:vAlign w:val="center"/>
            <w:hideMark/>
          </w:tcPr>
          <w:p w14:paraId="76748143" w14:textId="77777777" w:rsidR="00485F49" w:rsidRPr="00810F4F" w:rsidRDefault="00485F49" w:rsidP="005941DF">
            <w:pPr>
              <w:jc w:val="center"/>
              <w:rPr>
                <w:rFonts w:ascii="Century Gothic" w:eastAsia="Times New Roman" w:hAnsi="Century Gothic"/>
                <w:b/>
                <w:bCs/>
                <w:color w:val="FFFFFF"/>
                <w:sz w:val="20"/>
                <w:szCs w:val="20"/>
                <w:lang w:val="en-US"/>
              </w:rPr>
            </w:pPr>
            <w:r w:rsidRPr="00810F4F">
              <w:rPr>
                <w:rFonts w:ascii="Century Gothic" w:eastAsia="Times New Roman" w:hAnsi="Century Gothic"/>
                <w:b/>
                <w:bCs/>
                <w:color w:val="FFFFFF"/>
                <w:sz w:val="20"/>
                <w:szCs w:val="20"/>
                <w:lang w:val="en-US"/>
              </w:rPr>
              <w:t>Ideal for</w:t>
            </w:r>
          </w:p>
        </w:tc>
      </w:tr>
      <w:tr w:rsidR="00485F49" w:rsidRPr="00810F4F" w14:paraId="7F085653" w14:textId="77777777" w:rsidTr="003B461C">
        <w:trPr>
          <w:trHeight w:val="451"/>
        </w:trPr>
        <w:tc>
          <w:tcPr>
            <w:tcW w:w="732" w:type="pct"/>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2B601924" w14:textId="77777777" w:rsidR="00485F49" w:rsidRPr="00241BE3" w:rsidRDefault="00485F49" w:rsidP="005941DF">
            <w:pPr>
              <w:jc w:val="center"/>
              <w:rPr>
                <w:rFonts w:ascii="Century Gothic" w:eastAsia="Times New Roman" w:hAnsi="Century Gothic"/>
                <w:sz w:val="20"/>
                <w:szCs w:val="20"/>
                <w:lang w:val="en-US"/>
              </w:rPr>
            </w:pPr>
            <w:r w:rsidRPr="00241BE3">
              <w:rPr>
                <w:rFonts w:ascii="Century Gothic" w:eastAsia="Times New Roman" w:hAnsi="Century Gothic"/>
                <w:sz w:val="20"/>
                <w:szCs w:val="20"/>
                <w:lang w:val="en-US"/>
              </w:rPr>
              <w:t>None</w:t>
            </w:r>
          </w:p>
        </w:tc>
        <w:tc>
          <w:tcPr>
            <w:tcW w:w="1149" w:type="pct"/>
            <w:vMerge w:val="restart"/>
            <w:tcBorders>
              <w:top w:val="single" w:sz="4" w:space="0" w:color="auto"/>
              <w:left w:val="single" w:sz="4" w:space="0" w:color="auto"/>
              <w:bottom w:val="single" w:sz="4" w:space="0" w:color="000000"/>
              <w:right w:val="single" w:sz="4" w:space="0" w:color="000000"/>
            </w:tcBorders>
            <w:shd w:val="clear" w:color="000000" w:fill="CCFFFF"/>
            <w:vAlign w:val="center"/>
            <w:hideMark/>
          </w:tcPr>
          <w:p w14:paraId="20B1520C" w14:textId="121C695C" w:rsidR="00485F49" w:rsidRPr="00241BE3" w:rsidRDefault="00485F49" w:rsidP="005941DF">
            <w:pPr>
              <w:rPr>
                <w:rFonts w:ascii="Century Gothic" w:eastAsia="Times New Roman" w:hAnsi="Century Gothic"/>
                <w:sz w:val="20"/>
                <w:szCs w:val="20"/>
                <w:lang w:val="en-US"/>
              </w:rPr>
            </w:pPr>
            <w:r w:rsidRPr="00241BE3">
              <w:rPr>
                <w:rFonts w:ascii="Century Gothic" w:eastAsia="Times New Roman" w:hAnsi="Century Gothic"/>
                <w:sz w:val="20"/>
                <w:szCs w:val="20"/>
                <w:lang w:val="en-US"/>
              </w:rPr>
              <w:t>There is no risk to capital. Typically</w:t>
            </w:r>
            <w:r w:rsidR="00B62464">
              <w:rPr>
                <w:rFonts w:ascii="Century Gothic" w:eastAsia="Times New Roman" w:hAnsi="Century Gothic"/>
                <w:sz w:val="20"/>
                <w:szCs w:val="20"/>
                <w:lang w:val="en-US"/>
              </w:rPr>
              <w:t>,</w:t>
            </w:r>
            <w:r w:rsidRPr="00241BE3">
              <w:rPr>
                <w:rFonts w:ascii="Century Gothic" w:eastAsia="Times New Roman" w:hAnsi="Century Gothic"/>
                <w:sz w:val="20"/>
                <w:szCs w:val="20"/>
                <w:lang w:val="en-US"/>
              </w:rPr>
              <w:t xml:space="preserve"> investments wil</w:t>
            </w:r>
            <w:r w:rsidR="00CE043A">
              <w:rPr>
                <w:rFonts w:ascii="Century Gothic" w:eastAsia="Times New Roman" w:hAnsi="Century Gothic"/>
                <w:sz w:val="20"/>
                <w:szCs w:val="20"/>
                <w:lang w:val="en-US"/>
              </w:rPr>
              <w:t>l</w:t>
            </w:r>
            <w:r w:rsidRPr="00241BE3">
              <w:rPr>
                <w:rFonts w:ascii="Century Gothic" w:eastAsia="Times New Roman" w:hAnsi="Century Gothic"/>
                <w:sz w:val="20"/>
                <w:szCs w:val="20"/>
                <w:lang w:val="en-US"/>
              </w:rPr>
              <w:t xml:space="preserve"> be savings and deposits.</w:t>
            </w:r>
          </w:p>
        </w:tc>
        <w:tc>
          <w:tcPr>
            <w:tcW w:w="1641" w:type="pct"/>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4DA55347" w14:textId="77777777" w:rsidR="00485F49" w:rsidRPr="00241BE3" w:rsidRDefault="00485F49" w:rsidP="005941DF">
            <w:pPr>
              <w:rPr>
                <w:rFonts w:ascii="Century Gothic" w:eastAsia="Times New Roman" w:hAnsi="Century Gothic"/>
                <w:sz w:val="20"/>
                <w:szCs w:val="20"/>
                <w:lang w:val="en-US"/>
              </w:rPr>
            </w:pPr>
            <w:r w:rsidRPr="00241BE3">
              <w:rPr>
                <w:rFonts w:ascii="Century Gothic" w:eastAsia="Times New Roman" w:hAnsi="Century Gothic"/>
                <w:sz w:val="20"/>
                <w:szCs w:val="20"/>
                <w:lang w:val="en-US"/>
              </w:rPr>
              <w:t>Capital is secure and accessible (not always immediately) but there is an inevitable loss in value after the effects of inflation.</w:t>
            </w:r>
          </w:p>
        </w:tc>
        <w:tc>
          <w:tcPr>
            <w:tcW w:w="1478" w:type="pct"/>
            <w:vMerge w:val="restart"/>
            <w:tcBorders>
              <w:top w:val="single" w:sz="4" w:space="0" w:color="auto"/>
              <w:left w:val="single" w:sz="4" w:space="0" w:color="auto"/>
              <w:bottom w:val="single" w:sz="4" w:space="0" w:color="000000"/>
              <w:right w:val="single" w:sz="4" w:space="0" w:color="auto"/>
            </w:tcBorders>
            <w:shd w:val="clear" w:color="000000" w:fill="CCFFFF"/>
            <w:vAlign w:val="center"/>
            <w:hideMark/>
          </w:tcPr>
          <w:p w14:paraId="5A78981E" w14:textId="77777777" w:rsidR="00485F49" w:rsidRPr="00241BE3" w:rsidRDefault="00485F49" w:rsidP="005941DF">
            <w:pPr>
              <w:rPr>
                <w:rFonts w:ascii="Century Gothic" w:eastAsia="Times New Roman" w:hAnsi="Century Gothic"/>
                <w:sz w:val="20"/>
                <w:szCs w:val="20"/>
                <w:lang w:val="en-US"/>
              </w:rPr>
            </w:pPr>
            <w:r w:rsidRPr="00241BE3">
              <w:rPr>
                <w:rFonts w:ascii="Century Gothic" w:eastAsia="Times New Roman" w:hAnsi="Century Gothic"/>
                <w:sz w:val="20"/>
                <w:szCs w:val="20"/>
                <w:lang w:val="en-US"/>
              </w:rPr>
              <w:t>People who are not investors, but just looking to protect their capital.</w:t>
            </w:r>
          </w:p>
        </w:tc>
      </w:tr>
      <w:tr w:rsidR="00485F49" w:rsidRPr="00810F4F" w14:paraId="1E783DA5" w14:textId="77777777" w:rsidTr="003B461C">
        <w:trPr>
          <w:trHeight w:val="880"/>
        </w:trPr>
        <w:tc>
          <w:tcPr>
            <w:tcW w:w="732" w:type="pct"/>
            <w:vMerge/>
            <w:tcBorders>
              <w:top w:val="single" w:sz="4" w:space="0" w:color="auto"/>
              <w:left w:val="single" w:sz="4" w:space="0" w:color="auto"/>
              <w:bottom w:val="single" w:sz="4" w:space="0" w:color="auto"/>
              <w:right w:val="single" w:sz="4" w:space="0" w:color="auto"/>
            </w:tcBorders>
            <w:vAlign w:val="center"/>
            <w:hideMark/>
          </w:tcPr>
          <w:p w14:paraId="7DE4B0E6" w14:textId="77777777" w:rsidR="00485F49" w:rsidRPr="00241BE3" w:rsidRDefault="00485F49" w:rsidP="005941DF">
            <w:pPr>
              <w:rPr>
                <w:rFonts w:ascii="Century Gothic" w:eastAsia="Times New Roman" w:hAnsi="Century Gothic"/>
                <w:sz w:val="20"/>
                <w:szCs w:val="20"/>
                <w:lang w:val="en-US"/>
              </w:rPr>
            </w:pPr>
          </w:p>
        </w:tc>
        <w:tc>
          <w:tcPr>
            <w:tcW w:w="1149" w:type="pct"/>
            <w:vMerge/>
            <w:tcBorders>
              <w:top w:val="single" w:sz="4" w:space="0" w:color="auto"/>
              <w:left w:val="single" w:sz="4" w:space="0" w:color="auto"/>
              <w:bottom w:val="single" w:sz="4" w:space="0" w:color="000000"/>
              <w:right w:val="single" w:sz="4" w:space="0" w:color="000000"/>
            </w:tcBorders>
            <w:vAlign w:val="center"/>
            <w:hideMark/>
          </w:tcPr>
          <w:p w14:paraId="49636668" w14:textId="77777777" w:rsidR="00485F49" w:rsidRPr="00241BE3" w:rsidRDefault="00485F49" w:rsidP="005941DF">
            <w:pPr>
              <w:rPr>
                <w:rFonts w:ascii="Century Gothic" w:eastAsia="Times New Roman" w:hAnsi="Century Gothic"/>
                <w:sz w:val="20"/>
                <w:szCs w:val="20"/>
                <w:lang w:val="en-US"/>
              </w:rPr>
            </w:pPr>
          </w:p>
        </w:tc>
        <w:tc>
          <w:tcPr>
            <w:tcW w:w="1641" w:type="pct"/>
            <w:vMerge/>
            <w:tcBorders>
              <w:top w:val="single" w:sz="4" w:space="0" w:color="auto"/>
              <w:left w:val="single" w:sz="4" w:space="0" w:color="auto"/>
              <w:bottom w:val="single" w:sz="4" w:space="0" w:color="auto"/>
              <w:right w:val="single" w:sz="4" w:space="0" w:color="auto"/>
            </w:tcBorders>
            <w:vAlign w:val="center"/>
            <w:hideMark/>
          </w:tcPr>
          <w:p w14:paraId="055C918E" w14:textId="77777777" w:rsidR="00485F49" w:rsidRPr="00241BE3" w:rsidRDefault="00485F49" w:rsidP="005941DF">
            <w:pPr>
              <w:rPr>
                <w:rFonts w:ascii="Century Gothic" w:eastAsia="Times New Roman" w:hAnsi="Century Gothic"/>
                <w:sz w:val="20"/>
                <w:szCs w:val="20"/>
                <w:lang w:val="en-US"/>
              </w:rPr>
            </w:pPr>
          </w:p>
        </w:tc>
        <w:tc>
          <w:tcPr>
            <w:tcW w:w="1478" w:type="pct"/>
            <w:vMerge/>
            <w:tcBorders>
              <w:top w:val="single" w:sz="4" w:space="0" w:color="auto"/>
              <w:left w:val="single" w:sz="4" w:space="0" w:color="auto"/>
              <w:bottom w:val="single" w:sz="4" w:space="0" w:color="000000"/>
              <w:right w:val="single" w:sz="4" w:space="0" w:color="auto"/>
            </w:tcBorders>
            <w:vAlign w:val="center"/>
            <w:hideMark/>
          </w:tcPr>
          <w:p w14:paraId="4B48AC08" w14:textId="77777777" w:rsidR="00485F49" w:rsidRPr="00241BE3" w:rsidRDefault="00485F49" w:rsidP="005941DF">
            <w:pPr>
              <w:rPr>
                <w:rFonts w:ascii="Century Gothic" w:eastAsia="Times New Roman" w:hAnsi="Century Gothic"/>
                <w:sz w:val="20"/>
                <w:szCs w:val="20"/>
                <w:lang w:val="en-US"/>
              </w:rPr>
            </w:pPr>
          </w:p>
        </w:tc>
      </w:tr>
      <w:tr w:rsidR="00485F49" w:rsidRPr="00810F4F" w14:paraId="7D5589C5" w14:textId="77777777" w:rsidTr="003B461C">
        <w:trPr>
          <w:trHeight w:val="451"/>
        </w:trPr>
        <w:tc>
          <w:tcPr>
            <w:tcW w:w="732" w:type="pct"/>
            <w:vMerge w:val="restart"/>
            <w:tcBorders>
              <w:top w:val="nil"/>
              <w:left w:val="single" w:sz="4" w:space="0" w:color="auto"/>
              <w:bottom w:val="single" w:sz="4" w:space="0" w:color="auto"/>
              <w:right w:val="single" w:sz="4" w:space="0" w:color="auto"/>
            </w:tcBorders>
            <w:shd w:val="clear" w:color="000000" w:fill="CCFFCC"/>
            <w:vAlign w:val="center"/>
            <w:hideMark/>
          </w:tcPr>
          <w:p w14:paraId="05E19EAA" w14:textId="77777777" w:rsidR="00485F49" w:rsidRPr="00241BE3" w:rsidRDefault="00485F49" w:rsidP="005941DF">
            <w:pPr>
              <w:jc w:val="center"/>
              <w:rPr>
                <w:rFonts w:ascii="Century Gothic" w:eastAsia="Times New Roman" w:hAnsi="Century Gothic"/>
                <w:sz w:val="20"/>
                <w:szCs w:val="20"/>
                <w:lang w:val="en-US"/>
              </w:rPr>
            </w:pPr>
            <w:r w:rsidRPr="00241BE3">
              <w:rPr>
                <w:rFonts w:ascii="Century Gothic" w:eastAsia="Times New Roman" w:hAnsi="Century Gothic"/>
                <w:sz w:val="20"/>
                <w:szCs w:val="20"/>
                <w:lang w:val="en-US"/>
              </w:rPr>
              <w:t xml:space="preserve">Low </w:t>
            </w:r>
          </w:p>
        </w:tc>
        <w:tc>
          <w:tcPr>
            <w:tcW w:w="1149" w:type="pct"/>
            <w:vMerge w:val="restart"/>
            <w:tcBorders>
              <w:top w:val="single" w:sz="4" w:space="0" w:color="auto"/>
              <w:left w:val="single" w:sz="4" w:space="0" w:color="auto"/>
              <w:bottom w:val="single" w:sz="4" w:space="0" w:color="000000"/>
              <w:right w:val="single" w:sz="4" w:space="0" w:color="000000"/>
            </w:tcBorders>
            <w:shd w:val="clear" w:color="000000" w:fill="CCFFCC"/>
            <w:vAlign w:val="center"/>
            <w:hideMark/>
          </w:tcPr>
          <w:p w14:paraId="3B908A51" w14:textId="6FF38C3B" w:rsidR="00485F49" w:rsidRPr="00241BE3" w:rsidRDefault="00485F49" w:rsidP="005941DF">
            <w:pPr>
              <w:rPr>
                <w:rFonts w:ascii="Century Gothic" w:eastAsia="Times New Roman" w:hAnsi="Century Gothic"/>
                <w:sz w:val="20"/>
                <w:szCs w:val="20"/>
                <w:lang w:val="en-US"/>
              </w:rPr>
            </w:pPr>
            <w:r w:rsidRPr="00241BE3">
              <w:rPr>
                <w:rFonts w:ascii="Century Gothic" w:eastAsia="Times New Roman" w:hAnsi="Century Gothic"/>
                <w:sz w:val="20"/>
                <w:szCs w:val="20"/>
                <w:lang w:val="en-US"/>
              </w:rPr>
              <w:t xml:space="preserve">Small rises and falls in value. Over time expectation would be </w:t>
            </w:r>
            <w:r w:rsidR="00CE043A" w:rsidRPr="00241BE3">
              <w:rPr>
                <w:rFonts w:ascii="Century Gothic" w:eastAsia="Times New Roman" w:hAnsi="Century Gothic"/>
                <w:sz w:val="20"/>
                <w:szCs w:val="20"/>
                <w:lang w:val="en-US"/>
              </w:rPr>
              <w:t>to grow</w:t>
            </w:r>
            <w:r w:rsidRPr="00241BE3">
              <w:rPr>
                <w:rFonts w:ascii="Century Gothic" w:eastAsia="Times New Roman" w:hAnsi="Century Gothic"/>
                <w:sz w:val="20"/>
                <w:szCs w:val="20"/>
                <w:lang w:val="en-US"/>
              </w:rPr>
              <w:t xml:space="preserve"> to cover inflation but not much more.</w:t>
            </w:r>
          </w:p>
        </w:tc>
        <w:tc>
          <w:tcPr>
            <w:tcW w:w="1641" w:type="pct"/>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14:paraId="331725DC" w14:textId="6C0F5A75" w:rsidR="00485F49" w:rsidRPr="00241BE3" w:rsidRDefault="00485F49" w:rsidP="005941DF">
            <w:pPr>
              <w:rPr>
                <w:rFonts w:ascii="Century Gothic" w:eastAsia="Times New Roman" w:hAnsi="Century Gothic"/>
                <w:sz w:val="20"/>
                <w:szCs w:val="20"/>
                <w:lang w:val="en-US"/>
              </w:rPr>
            </w:pPr>
            <w:r w:rsidRPr="00241BE3">
              <w:rPr>
                <w:rFonts w:ascii="Century Gothic" w:eastAsia="Times New Roman" w:hAnsi="Century Gothic"/>
                <w:sz w:val="20"/>
                <w:szCs w:val="20"/>
                <w:lang w:val="en-US"/>
              </w:rPr>
              <w:t xml:space="preserve">Investments will be accessible. In the </w:t>
            </w:r>
            <w:r w:rsidR="00B62464" w:rsidRPr="00241BE3">
              <w:rPr>
                <w:rFonts w:ascii="Century Gothic" w:eastAsia="Times New Roman" w:hAnsi="Century Gothic"/>
                <w:sz w:val="20"/>
                <w:szCs w:val="20"/>
                <w:lang w:val="en-US"/>
              </w:rPr>
              <w:t>short-term</w:t>
            </w:r>
            <w:r w:rsidRPr="00241BE3">
              <w:rPr>
                <w:rFonts w:ascii="Century Gothic" w:eastAsia="Times New Roman" w:hAnsi="Century Gothic"/>
                <w:sz w:val="20"/>
                <w:szCs w:val="20"/>
                <w:lang w:val="en-US"/>
              </w:rPr>
              <w:t xml:space="preserve"> small capital losses may occur, but in the longer term, small returns above inflation are expected but not guaranteed.  Large capital growth is not expected even in the long term.</w:t>
            </w:r>
          </w:p>
        </w:tc>
        <w:tc>
          <w:tcPr>
            <w:tcW w:w="1478" w:type="pct"/>
            <w:vMerge w:val="restart"/>
            <w:tcBorders>
              <w:top w:val="nil"/>
              <w:left w:val="single" w:sz="4" w:space="0" w:color="auto"/>
              <w:bottom w:val="single" w:sz="4" w:space="0" w:color="000000"/>
              <w:right w:val="single" w:sz="4" w:space="0" w:color="auto"/>
            </w:tcBorders>
            <w:shd w:val="clear" w:color="000000" w:fill="CCFFCC"/>
            <w:vAlign w:val="center"/>
            <w:hideMark/>
          </w:tcPr>
          <w:p w14:paraId="1A1439FF" w14:textId="570977C1" w:rsidR="00485F49" w:rsidRPr="00241BE3" w:rsidRDefault="00485F49" w:rsidP="005941DF">
            <w:pPr>
              <w:rPr>
                <w:rFonts w:ascii="Century Gothic" w:eastAsia="Times New Roman" w:hAnsi="Century Gothic"/>
                <w:sz w:val="20"/>
                <w:szCs w:val="20"/>
                <w:lang w:val="en-US"/>
              </w:rPr>
            </w:pPr>
            <w:r w:rsidRPr="00241BE3">
              <w:rPr>
                <w:rFonts w:ascii="Century Gothic" w:eastAsia="Times New Roman" w:hAnsi="Century Gothic"/>
                <w:sz w:val="20"/>
                <w:szCs w:val="20"/>
                <w:lang w:val="en-US"/>
              </w:rPr>
              <w:t xml:space="preserve">People who have sufficient money to cover lifestyle </w:t>
            </w:r>
            <w:r w:rsidR="00CE043A" w:rsidRPr="00241BE3">
              <w:rPr>
                <w:rFonts w:ascii="Century Gothic" w:eastAsia="Times New Roman" w:hAnsi="Century Gothic"/>
                <w:sz w:val="20"/>
                <w:szCs w:val="20"/>
                <w:lang w:val="en-US"/>
              </w:rPr>
              <w:t>expenses and</w:t>
            </w:r>
            <w:r w:rsidRPr="00241BE3">
              <w:rPr>
                <w:rFonts w:ascii="Century Gothic" w:eastAsia="Times New Roman" w:hAnsi="Century Gothic"/>
                <w:sz w:val="20"/>
                <w:szCs w:val="20"/>
                <w:lang w:val="en-US"/>
              </w:rPr>
              <w:t xml:space="preserve"> are investing to just to protect the </w:t>
            </w:r>
            <w:r w:rsidR="00CE043A" w:rsidRPr="00241BE3">
              <w:rPr>
                <w:rFonts w:ascii="Century Gothic" w:eastAsia="Times New Roman" w:hAnsi="Century Gothic"/>
                <w:sz w:val="20"/>
                <w:szCs w:val="20"/>
                <w:lang w:val="en-US"/>
              </w:rPr>
              <w:t>after-inflation</w:t>
            </w:r>
            <w:r w:rsidRPr="00241BE3">
              <w:rPr>
                <w:rFonts w:ascii="Century Gothic" w:eastAsia="Times New Roman" w:hAnsi="Century Gothic"/>
                <w:sz w:val="20"/>
                <w:szCs w:val="20"/>
                <w:lang w:val="en-US"/>
              </w:rPr>
              <w:t xml:space="preserve"> value of their investments or make up a small shortfall.</w:t>
            </w:r>
          </w:p>
        </w:tc>
      </w:tr>
      <w:tr w:rsidR="00485F49" w:rsidRPr="00810F4F" w14:paraId="24141A16" w14:textId="77777777" w:rsidTr="003B461C">
        <w:trPr>
          <w:trHeight w:val="451"/>
        </w:trPr>
        <w:tc>
          <w:tcPr>
            <w:tcW w:w="732" w:type="pct"/>
            <w:vMerge/>
            <w:tcBorders>
              <w:top w:val="nil"/>
              <w:left w:val="single" w:sz="4" w:space="0" w:color="auto"/>
              <w:bottom w:val="single" w:sz="4" w:space="0" w:color="auto"/>
              <w:right w:val="single" w:sz="4" w:space="0" w:color="auto"/>
            </w:tcBorders>
            <w:vAlign w:val="center"/>
            <w:hideMark/>
          </w:tcPr>
          <w:p w14:paraId="559339AF" w14:textId="77777777" w:rsidR="00485F49" w:rsidRPr="00241BE3" w:rsidRDefault="00485F49" w:rsidP="005941DF">
            <w:pPr>
              <w:rPr>
                <w:rFonts w:ascii="Century Gothic" w:eastAsia="Times New Roman" w:hAnsi="Century Gothic"/>
                <w:sz w:val="20"/>
                <w:szCs w:val="20"/>
                <w:lang w:val="en-US"/>
              </w:rPr>
            </w:pPr>
          </w:p>
        </w:tc>
        <w:tc>
          <w:tcPr>
            <w:tcW w:w="1149" w:type="pct"/>
            <w:vMerge/>
            <w:tcBorders>
              <w:top w:val="single" w:sz="4" w:space="0" w:color="auto"/>
              <w:left w:val="single" w:sz="4" w:space="0" w:color="auto"/>
              <w:bottom w:val="single" w:sz="4" w:space="0" w:color="000000"/>
              <w:right w:val="single" w:sz="4" w:space="0" w:color="000000"/>
            </w:tcBorders>
            <w:vAlign w:val="center"/>
            <w:hideMark/>
          </w:tcPr>
          <w:p w14:paraId="0C18D6CE" w14:textId="77777777" w:rsidR="00485F49" w:rsidRPr="00241BE3" w:rsidRDefault="00485F49" w:rsidP="005941DF">
            <w:pPr>
              <w:rPr>
                <w:rFonts w:ascii="Century Gothic" w:eastAsia="Times New Roman" w:hAnsi="Century Gothic"/>
                <w:sz w:val="20"/>
                <w:szCs w:val="20"/>
                <w:lang w:val="en-US"/>
              </w:rPr>
            </w:pPr>
          </w:p>
        </w:tc>
        <w:tc>
          <w:tcPr>
            <w:tcW w:w="1641" w:type="pct"/>
            <w:vMerge/>
            <w:tcBorders>
              <w:top w:val="single" w:sz="4" w:space="0" w:color="auto"/>
              <w:left w:val="single" w:sz="4" w:space="0" w:color="auto"/>
              <w:bottom w:val="single" w:sz="4" w:space="0" w:color="auto"/>
              <w:right w:val="single" w:sz="4" w:space="0" w:color="auto"/>
            </w:tcBorders>
            <w:vAlign w:val="center"/>
            <w:hideMark/>
          </w:tcPr>
          <w:p w14:paraId="2FF5435A" w14:textId="77777777" w:rsidR="00485F49" w:rsidRPr="00241BE3" w:rsidRDefault="00485F49" w:rsidP="005941DF">
            <w:pPr>
              <w:rPr>
                <w:rFonts w:ascii="Century Gothic" w:eastAsia="Times New Roman" w:hAnsi="Century Gothic"/>
                <w:sz w:val="20"/>
                <w:szCs w:val="20"/>
                <w:lang w:val="en-US"/>
              </w:rPr>
            </w:pPr>
          </w:p>
        </w:tc>
        <w:tc>
          <w:tcPr>
            <w:tcW w:w="1478" w:type="pct"/>
            <w:vMerge/>
            <w:tcBorders>
              <w:top w:val="nil"/>
              <w:left w:val="single" w:sz="4" w:space="0" w:color="auto"/>
              <w:bottom w:val="single" w:sz="4" w:space="0" w:color="000000"/>
              <w:right w:val="single" w:sz="4" w:space="0" w:color="auto"/>
            </w:tcBorders>
            <w:vAlign w:val="center"/>
            <w:hideMark/>
          </w:tcPr>
          <w:p w14:paraId="6F25951B" w14:textId="77777777" w:rsidR="00485F49" w:rsidRPr="00241BE3" w:rsidRDefault="00485F49" w:rsidP="005941DF">
            <w:pPr>
              <w:rPr>
                <w:rFonts w:ascii="Century Gothic" w:eastAsia="Times New Roman" w:hAnsi="Century Gothic"/>
                <w:sz w:val="20"/>
                <w:szCs w:val="20"/>
                <w:lang w:val="en-US"/>
              </w:rPr>
            </w:pPr>
          </w:p>
        </w:tc>
      </w:tr>
      <w:tr w:rsidR="00485F49" w:rsidRPr="00810F4F" w14:paraId="047FBD5E" w14:textId="77777777" w:rsidTr="003B461C">
        <w:trPr>
          <w:trHeight w:val="451"/>
        </w:trPr>
        <w:tc>
          <w:tcPr>
            <w:tcW w:w="732" w:type="pct"/>
            <w:vMerge/>
            <w:tcBorders>
              <w:top w:val="nil"/>
              <w:left w:val="single" w:sz="4" w:space="0" w:color="auto"/>
              <w:bottom w:val="single" w:sz="4" w:space="0" w:color="auto"/>
              <w:right w:val="single" w:sz="4" w:space="0" w:color="auto"/>
            </w:tcBorders>
            <w:vAlign w:val="center"/>
            <w:hideMark/>
          </w:tcPr>
          <w:p w14:paraId="3239852D" w14:textId="77777777" w:rsidR="00485F49" w:rsidRPr="00241BE3" w:rsidRDefault="00485F49" w:rsidP="005941DF">
            <w:pPr>
              <w:rPr>
                <w:rFonts w:ascii="Century Gothic" w:eastAsia="Times New Roman" w:hAnsi="Century Gothic"/>
                <w:sz w:val="20"/>
                <w:szCs w:val="20"/>
                <w:lang w:val="en-US"/>
              </w:rPr>
            </w:pPr>
          </w:p>
        </w:tc>
        <w:tc>
          <w:tcPr>
            <w:tcW w:w="1149" w:type="pct"/>
            <w:vMerge/>
            <w:tcBorders>
              <w:top w:val="single" w:sz="4" w:space="0" w:color="auto"/>
              <w:left w:val="single" w:sz="4" w:space="0" w:color="auto"/>
              <w:bottom w:val="single" w:sz="4" w:space="0" w:color="000000"/>
              <w:right w:val="single" w:sz="4" w:space="0" w:color="000000"/>
            </w:tcBorders>
            <w:vAlign w:val="center"/>
            <w:hideMark/>
          </w:tcPr>
          <w:p w14:paraId="63B6D840" w14:textId="77777777" w:rsidR="00485F49" w:rsidRPr="00241BE3" w:rsidRDefault="00485F49" w:rsidP="005941DF">
            <w:pPr>
              <w:rPr>
                <w:rFonts w:ascii="Century Gothic" w:eastAsia="Times New Roman" w:hAnsi="Century Gothic"/>
                <w:sz w:val="20"/>
                <w:szCs w:val="20"/>
                <w:lang w:val="en-US"/>
              </w:rPr>
            </w:pPr>
          </w:p>
        </w:tc>
        <w:tc>
          <w:tcPr>
            <w:tcW w:w="1641" w:type="pct"/>
            <w:vMerge/>
            <w:tcBorders>
              <w:top w:val="single" w:sz="4" w:space="0" w:color="auto"/>
              <w:left w:val="single" w:sz="4" w:space="0" w:color="auto"/>
              <w:bottom w:val="single" w:sz="4" w:space="0" w:color="auto"/>
              <w:right w:val="single" w:sz="4" w:space="0" w:color="auto"/>
            </w:tcBorders>
            <w:vAlign w:val="center"/>
            <w:hideMark/>
          </w:tcPr>
          <w:p w14:paraId="78930555" w14:textId="77777777" w:rsidR="00485F49" w:rsidRPr="00241BE3" w:rsidRDefault="00485F49" w:rsidP="005941DF">
            <w:pPr>
              <w:rPr>
                <w:rFonts w:ascii="Century Gothic" w:eastAsia="Times New Roman" w:hAnsi="Century Gothic"/>
                <w:sz w:val="20"/>
                <w:szCs w:val="20"/>
                <w:lang w:val="en-US"/>
              </w:rPr>
            </w:pPr>
          </w:p>
        </w:tc>
        <w:tc>
          <w:tcPr>
            <w:tcW w:w="1478" w:type="pct"/>
            <w:vMerge/>
            <w:tcBorders>
              <w:top w:val="nil"/>
              <w:left w:val="single" w:sz="4" w:space="0" w:color="auto"/>
              <w:bottom w:val="single" w:sz="4" w:space="0" w:color="000000"/>
              <w:right w:val="single" w:sz="4" w:space="0" w:color="auto"/>
            </w:tcBorders>
            <w:vAlign w:val="center"/>
            <w:hideMark/>
          </w:tcPr>
          <w:p w14:paraId="3B409846" w14:textId="77777777" w:rsidR="00485F49" w:rsidRPr="00241BE3" w:rsidRDefault="00485F49" w:rsidP="005941DF">
            <w:pPr>
              <w:rPr>
                <w:rFonts w:ascii="Century Gothic" w:eastAsia="Times New Roman" w:hAnsi="Century Gothic"/>
                <w:sz w:val="20"/>
                <w:szCs w:val="20"/>
                <w:lang w:val="en-US"/>
              </w:rPr>
            </w:pPr>
          </w:p>
        </w:tc>
      </w:tr>
      <w:tr w:rsidR="00485F49" w:rsidRPr="00810F4F" w14:paraId="563C990F" w14:textId="77777777" w:rsidTr="003B461C">
        <w:trPr>
          <w:trHeight w:val="451"/>
        </w:trPr>
        <w:tc>
          <w:tcPr>
            <w:tcW w:w="732" w:type="pct"/>
            <w:vMerge/>
            <w:tcBorders>
              <w:top w:val="nil"/>
              <w:left w:val="single" w:sz="4" w:space="0" w:color="auto"/>
              <w:bottom w:val="single" w:sz="4" w:space="0" w:color="auto"/>
              <w:right w:val="single" w:sz="4" w:space="0" w:color="auto"/>
            </w:tcBorders>
            <w:vAlign w:val="center"/>
            <w:hideMark/>
          </w:tcPr>
          <w:p w14:paraId="33906F7A" w14:textId="77777777" w:rsidR="00485F49" w:rsidRPr="00241BE3" w:rsidRDefault="00485F49" w:rsidP="005941DF">
            <w:pPr>
              <w:rPr>
                <w:rFonts w:ascii="Century Gothic" w:eastAsia="Times New Roman" w:hAnsi="Century Gothic"/>
                <w:sz w:val="20"/>
                <w:szCs w:val="20"/>
                <w:lang w:val="en-US"/>
              </w:rPr>
            </w:pPr>
          </w:p>
        </w:tc>
        <w:tc>
          <w:tcPr>
            <w:tcW w:w="1149" w:type="pct"/>
            <w:vMerge/>
            <w:tcBorders>
              <w:top w:val="single" w:sz="4" w:space="0" w:color="auto"/>
              <w:left w:val="single" w:sz="4" w:space="0" w:color="auto"/>
              <w:bottom w:val="single" w:sz="4" w:space="0" w:color="000000"/>
              <w:right w:val="single" w:sz="4" w:space="0" w:color="000000"/>
            </w:tcBorders>
            <w:vAlign w:val="center"/>
            <w:hideMark/>
          </w:tcPr>
          <w:p w14:paraId="47117B3A" w14:textId="77777777" w:rsidR="00485F49" w:rsidRPr="00241BE3" w:rsidRDefault="00485F49" w:rsidP="005941DF">
            <w:pPr>
              <w:rPr>
                <w:rFonts w:ascii="Century Gothic" w:eastAsia="Times New Roman" w:hAnsi="Century Gothic"/>
                <w:sz w:val="20"/>
                <w:szCs w:val="20"/>
                <w:lang w:val="en-US"/>
              </w:rPr>
            </w:pPr>
          </w:p>
        </w:tc>
        <w:tc>
          <w:tcPr>
            <w:tcW w:w="1641" w:type="pct"/>
            <w:vMerge/>
            <w:tcBorders>
              <w:top w:val="single" w:sz="4" w:space="0" w:color="auto"/>
              <w:left w:val="single" w:sz="4" w:space="0" w:color="auto"/>
              <w:bottom w:val="single" w:sz="4" w:space="0" w:color="auto"/>
              <w:right w:val="single" w:sz="4" w:space="0" w:color="auto"/>
            </w:tcBorders>
            <w:vAlign w:val="center"/>
            <w:hideMark/>
          </w:tcPr>
          <w:p w14:paraId="04B14D18" w14:textId="77777777" w:rsidR="00485F49" w:rsidRPr="00241BE3" w:rsidRDefault="00485F49" w:rsidP="005941DF">
            <w:pPr>
              <w:rPr>
                <w:rFonts w:ascii="Century Gothic" w:eastAsia="Times New Roman" w:hAnsi="Century Gothic"/>
                <w:sz w:val="20"/>
                <w:szCs w:val="20"/>
                <w:lang w:val="en-US"/>
              </w:rPr>
            </w:pPr>
          </w:p>
        </w:tc>
        <w:tc>
          <w:tcPr>
            <w:tcW w:w="1478" w:type="pct"/>
            <w:vMerge/>
            <w:tcBorders>
              <w:top w:val="nil"/>
              <w:left w:val="single" w:sz="4" w:space="0" w:color="auto"/>
              <w:bottom w:val="single" w:sz="4" w:space="0" w:color="000000"/>
              <w:right w:val="single" w:sz="4" w:space="0" w:color="auto"/>
            </w:tcBorders>
            <w:vAlign w:val="center"/>
            <w:hideMark/>
          </w:tcPr>
          <w:p w14:paraId="20E75036" w14:textId="77777777" w:rsidR="00485F49" w:rsidRPr="00241BE3" w:rsidRDefault="00485F49" w:rsidP="005941DF">
            <w:pPr>
              <w:rPr>
                <w:rFonts w:ascii="Century Gothic" w:eastAsia="Times New Roman" w:hAnsi="Century Gothic"/>
                <w:sz w:val="20"/>
                <w:szCs w:val="20"/>
                <w:lang w:val="en-US"/>
              </w:rPr>
            </w:pPr>
          </w:p>
        </w:tc>
      </w:tr>
      <w:tr w:rsidR="00485F49" w:rsidRPr="00810F4F" w14:paraId="6237CD4C" w14:textId="77777777" w:rsidTr="003B461C">
        <w:trPr>
          <w:trHeight w:val="560"/>
        </w:trPr>
        <w:tc>
          <w:tcPr>
            <w:tcW w:w="732" w:type="pct"/>
            <w:vMerge/>
            <w:tcBorders>
              <w:top w:val="nil"/>
              <w:left w:val="single" w:sz="4" w:space="0" w:color="auto"/>
              <w:bottom w:val="single" w:sz="4" w:space="0" w:color="auto"/>
              <w:right w:val="single" w:sz="4" w:space="0" w:color="auto"/>
            </w:tcBorders>
            <w:vAlign w:val="center"/>
            <w:hideMark/>
          </w:tcPr>
          <w:p w14:paraId="6DC8B362" w14:textId="77777777" w:rsidR="00485F49" w:rsidRPr="00241BE3" w:rsidRDefault="00485F49" w:rsidP="005941DF">
            <w:pPr>
              <w:rPr>
                <w:rFonts w:ascii="Century Gothic" w:eastAsia="Times New Roman" w:hAnsi="Century Gothic"/>
                <w:sz w:val="20"/>
                <w:szCs w:val="20"/>
                <w:lang w:val="en-US"/>
              </w:rPr>
            </w:pPr>
          </w:p>
        </w:tc>
        <w:tc>
          <w:tcPr>
            <w:tcW w:w="1149" w:type="pct"/>
            <w:vMerge/>
            <w:tcBorders>
              <w:top w:val="single" w:sz="4" w:space="0" w:color="auto"/>
              <w:left w:val="single" w:sz="4" w:space="0" w:color="auto"/>
              <w:bottom w:val="single" w:sz="4" w:space="0" w:color="000000"/>
              <w:right w:val="single" w:sz="4" w:space="0" w:color="000000"/>
            </w:tcBorders>
            <w:vAlign w:val="center"/>
            <w:hideMark/>
          </w:tcPr>
          <w:p w14:paraId="479695C3" w14:textId="77777777" w:rsidR="00485F49" w:rsidRPr="00241BE3" w:rsidRDefault="00485F49" w:rsidP="005941DF">
            <w:pPr>
              <w:rPr>
                <w:rFonts w:ascii="Century Gothic" w:eastAsia="Times New Roman" w:hAnsi="Century Gothic"/>
                <w:sz w:val="20"/>
                <w:szCs w:val="20"/>
                <w:lang w:val="en-US"/>
              </w:rPr>
            </w:pPr>
          </w:p>
        </w:tc>
        <w:tc>
          <w:tcPr>
            <w:tcW w:w="1641" w:type="pct"/>
            <w:vMerge/>
            <w:tcBorders>
              <w:top w:val="single" w:sz="4" w:space="0" w:color="auto"/>
              <w:left w:val="single" w:sz="4" w:space="0" w:color="auto"/>
              <w:bottom w:val="single" w:sz="4" w:space="0" w:color="auto"/>
              <w:right w:val="single" w:sz="4" w:space="0" w:color="auto"/>
            </w:tcBorders>
            <w:vAlign w:val="center"/>
            <w:hideMark/>
          </w:tcPr>
          <w:p w14:paraId="76FC27B0" w14:textId="77777777" w:rsidR="00485F49" w:rsidRPr="00241BE3" w:rsidRDefault="00485F49" w:rsidP="005941DF">
            <w:pPr>
              <w:rPr>
                <w:rFonts w:ascii="Century Gothic" w:eastAsia="Times New Roman" w:hAnsi="Century Gothic"/>
                <w:sz w:val="20"/>
                <w:szCs w:val="20"/>
                <w:lang w:val="en-US"/>
              </w:rPr>
            </w:pPr>
          </w:p>
        </w:tc>
        <w:tc>
          <w:tcPr>
            <w:tcW w:w="1478" w:type="pct"/>
            <w:vMerge/>
            <w:tcBorders>
              <w:top w:val="nil"/>
              <w:left w:val="single" w:sz="4" w:space="0" w:color="auto"/>
              <w:bottom w:val="single" w:sz="4" w:space="0" w:color="000000"/>
              <w:right w:val="single" w:sz="4" w:space="0" w:color="auto"/>
            </w:tcBorders>
            <w:vAlign w:val="center"/>
            <w:hideMark/>
          </w:tcPr>
          <w:p w14:paraId="428B8093" w14:textId="77777777" w:rsidR="00485F49" w:rsidRPr="00241BE3" w:rsidRDefault="00485F49" w:rsidP="005941DF">
            <w:pPr>
              <w:rPr>
                <w:rFonts w:ascii="Century Gothic" w:eastAsia="Times New Roman" w:hAnsi="Century Gothic"/>
                <w:sz w:val="20"/>
                <w:szCs w:val="20"/>
                <w:lang w:val="en-US"/>
              </w:rPr>
            </w:pPr>
          </w:p>
        </w:tc>
      </w:tr>
      <w:tr w:rsidR="00485F49" w:rsidRPr="00810F4F" w14:paraId="7C78F43A" w14:textId="77777777" w:rsidTr="00781D6C">
        <w:trPr>
          <w:trHeight w:val="451"/>
        </w:trPr>
        <w:tc>
          <w:tcPr>
            <w:tcW w:w="732" w:type="pct"/>
            <w:vMerge w:val="restart"/>
            <w:tcBorders>
              <w:top w:val="nil"/>
              <w:left w:val="single" w:sz="4" w:space="0" w:color="auto"/>
              <w:bottom w:val="single" w:sz="4" w:space="0" w:color="000000"/>
              <w:right w:val="single" w:sz="4" w:space="0" w:color="auto"/>
            </w:tcBorders>
            <w:shd w:val="clear" w:color="000000" w:fill="FFFF99"/>
            <w:vAlign w:val="center"/>
            <w:hideMark/>
          </w:tcPr>
          <w:p w14:paraId="3B9EC641" w14:textId="77777777" w:rsidR="003B461C" w:rsidRPr="00241BE3" w:rsidRDefault="003B461C" w:rsidP="003B461C">
            <w:pPr>
              <w:jc w:val="center"/>
              <w:rPr>
                <w:rFonts w:ascii="Century Gothic" w:eastAsia="Times New Roman" w:hAnsi="Century Gothic"/>
                <w:sz w:val="20"/>
                <w:szCs w:val="20"/>
                <w:lang w:val="en-US"/>
              </w:rPr>
            </w:pPr>
          </w:p>
          <w:p w14:paraId="0ED981B6" w14:textId="77777777" w:rsidR="003B461C" w:rsidRPr="00241BE3" w:rsidRDefault="003B461C" w:rsidP="00781D6C">
            <w:pPr>
              <w:jc w:val="center"/>
              <w:rPr>
                <w:rFonts w:ascii="Century Gothic" w:eastAsia="Times New Roman" w:hAnsi="Century Gothic"/>
                <w:sz w:val="20"/>
                <w:szCs w:val="20"/>
                <w:lang w:val="en-US"/>
              </w:rPr>
            </w:pPr>
          </w:p>
          <w:p w14:paraId="65FDFBBB" w14:textId="77777777" w:rsidR="003B461C" w:rsidRPr="00241BE3" w:rsidRDefault="003B461C" w:rsidP="00781D6C">
            <w:pPr>
              <w:jc w:val="center"/>
              <w:rPr>
                <w:rFonts w:ascii="Century Gothic" w:eastAsia="Times New Roman" w:hAnsi="Century Gothic"/>
                <w:sz w:val="20"/>
                <w:szCs w:val="20"/>
                <w:lang w:val="en-US"/>
              </w:rPr>
            </w:pPr>
          </w:p>
          <w:p w14:paraId="684EF726" w14:textId="77777777" w:rsidR="003B461C" w:rsidRPr="00241BE3" w:rsidRDefault="003B461C" w:rsidP="00781D6C">
            <w:pPr>
              <w:jc w:val="center"/>
              <w:rPr>
                <w:rFonts w:ascii="Century Gothic" w:eastAsia="Times New Roman" w:hAnsi="Century Gothic"/>
                <w:sz w:val="20"/>
                <w:szCs w:val="20"/>
                <w:lang w:val="en-US"/>
              </w:rPr>
            </w:pPr>
          </w:p>
          <w:p w14:paraId="11CBBAA6" w14:textId="386C5448" w:rsidR="00485F49" w:rsidRPr="00241BE3" w:rsidRDefault="00485F49" w:rsidP="00781D6C">
            <w:pPr>
              <w:jc w:val="center"/>
              <w:rPr>
                <w:rFonts w:ascii="Century Gothic" w:eastAsia="Times New Roman" w:hAnsi="Century Gothic"/>
                <w:sz w:val="20"/>
                <w:szCs w:val="20"/>
                <w:lang w:val="en-US"/>
              </w:rPr>
            </w:pPr>
            <w:r w:rsidRPr="00241BE3">
              <w:rPr>
                <w:rFonts w:ascii="Century Gothic" w:eastAsia="Times New Roman" w:hAnsi="Century Gothic"/>
                <w:sz w:val="20"/>
                <w:szCs w:val="20"/>
                <w:lang w:val="en-US"/>
              </w:rPr>
              <w:t>Medium</w:t>
            </w:r>
          </w:p>
        </w:tc>
        <w:tc>
          <w:tcPr>
            <w:tcW w:w="1149" w:type="pct"/>
            <w:vMerge w:val="restart"/>
            <w:tcBorders>
              <w:top w:val="single" w:sz="4" w:space="0" w:color="auto"/>
              <w:left w:val="single" w:sz="4" w:space="0" w:color="auto"/>
              <w:bottom w:val="single" w:sz="4" w:space="0" w:color="000000"/>
              <w:right w:val="single" w:sz="4" w:space="0" w:color="000000"/>
            </w:tcBorders>
            <w:shd w:val="clear" w:color="000000" w:fill="FFFF99"/>
            <w:vAlign w:val="center"/>
            <w:hideMark/>
          </w:tcPr>
          <w:p w14:paraId="4FC42435" w14:textId="214403A7" w:rsidR="00485F49" w:rsidRPr="00241BE3" w:rsidRDefault="00485F49" w:rsidP="005941DF">
            <w:pPr>
              <w:rPr>
                <w:rFonts w:ascii="Century Gothic" w:eastAsia="Times New Roman" w:hAnsi="Century Gothic"/>
                <w:sz w:val="20"/>
                <w:szCs w:val="20"/>
                <w:lang w:val="en-US"/>
              </w:rPr>
            </w:pPr>
            <w:r w:rsidRPr="00241BE3">
              <w:rPr>
                <w:rFonts w:ascii="Century Gothic" w:eastAsia="Times New Roman" w:hAnsi="Century Gothic"/>
                <w:sz w:val="20"/>
                <w:szCs w:val="20"/>
                <w:lang w:val="en-US"/>
              </w:rPr>
              <w:lastRenderedPageBreak/>
              <w:t xml:space="preserve">Significant but not large rises and falls in value. Over time expectation would be </w:t>
            </w:r>
            <w:r w:rsidR="00CE043A" w:rsidRPr="00241BE3">
              <w:rPr>
                <w:rFonts w:ascii="Century Gothic" w:eastAsia="Times New Roman" w:hAnsi="Century Gothic"/>
                <w:sz w:val="20"/>
                <w:szCs w:val="20"/>
                <w:lang w:val="en-US"/>
              </w:rPr>
              <w:t>to grow</w:t>
            </w:r>
            <w:r w:rsidRPr="00241BE3">
              <w:rPr>
                <w:rFonts w:ascii="Century Gothic" w:eastAsia="Times New Roman" w:hAnsi="Century Gothic"/>
                <w:sz w:val="20"/>
                <w:szCs w:val="20"/>
                <w:lang w:val="en-US"/>
              </w:rPr>
              <w:t xml:space="preserve"> to cover inflation by some margin. </w:t>
            </w:r>
          </w:p>
        </w:tc>
        <w:tc>
          <w:tcPr>
            <w:tcW w:w="1641" w:type="pct"/>
            <w:vMerge w:val="restart"/>
            <w:tcBorders>
              <w:top w:val="single" w:sz="4" w:space="0" w:color="auto"/>
              <w:left w:val="single" w:sz="4" w:space="0" w:color="auto"/>
              <w:bottom w:val="single" w:sz="4" w:space="0" w:color="000000"/>
              <w:right w:val="single" w:sz="4" w:space="0" w:color="000000"/>
            </w:tcBorders>
            <w:shd w:val="clear" w:color="000000" w:fill="FFFF99"/>
            <w:vAlign w:val="center"/>
            <w:hideMark/>
          </w:tcPr>
          <w:p w14:paraId="32ADDE0C" w14:textId="240E1C83" w:rsidR="00485F49" w:rsidRPr="00241BE3" w:rsidRDefault="00485F49" w:rsidP="005941DF">
            <w:pPr>
              <w:rPr>
                <w:rFonts w:ascii="Century Gothic" w:eastAsia="Times New Roman" w:hAnsi="Century Gothic"/>
                <w:sz w:val="20"/>
                <w:szCs w:val="20"/>
                <w:lang w:val="en-US"/>
              </w:rPr>
            </w:pPr>
            <w:r w:rsidRPr="00241BE3">
              <w:rPr>
                <w:rFonts w:ascii="Century Gothic" w:eastAsia="Times New Roman" w:hAnsi="Century Gothic"/>
                <w:sz w:val="20"/>
                <w:szCs w:val="20"/>
                <w:lang w:val="en-US"/>
              </w:rPr>
              <w:t>Investments will be accessible. In the short term</w:t>
            </w:r>
            <w:r w:rsidR="00B62464">
              <w:rPr>
                <w:rFonts w:ascii="Century Gothic" w:eastAsia="Times New Roman" w:hAnsi="Century Gothic"/>
                <w:sz w:val="20"/>
                <w:szCs w:val="20"/>
                <w:lang w:val="en-US"/>
              </w:rPr>
              <w:t>,</w:t>
            </w:r>
            <w:r w:rsidRPr="00241BE3">
              <w:rPr>
                <w:rFonts w:ascii="Century Gothic" w:eastAsia="Times New Roman" w:hAnsi="Century Gothic"/>
                <w:sz w:val="20"/>
                <w:szCs w:val="20"/>
                <w:lang w:val="en-US"/>
              </w:rPr>
              <w:t xml:space="preserve"> capital losses may occur, but in the longer term, significant returns above inflation are expected, but not guaranteed.  </w:t>
            </w:r>
          </w:p>
        </w:tc>
        <w:tc>
          <w:tcPr>
            <w:tcW w:w="1478" w:type="pct"/>
            <w:vMerge w:val="restart"/>
            <w:tcBorders>
              <w:top w:val="nil"/>
              <w:left w:val="single" w:sz="4" w:space="0" w:color="auto"/>
              <w:bottom w:val="single" w:sz="4" w:space="0" w:color="000000"/>
              <w:right w:val="single" w:sz="4" w:space="0" w:color="auto"/>
            </w:tcBorders>
            <w:shd w:val="clear" w:color="000000" w:fill="FFFF99"/>
            <w:vAlign w:val="center"/>
            <w:hideMark/>
          </w:tcPr>
          <w:p w14:paraId="532C2F33" w14:textId="494CDDA8" w:rsidR="00485F49" w:rsidRPr="00241BE3" w:rsidRDefault="00485F49" w:rsidP="005941DF">
            <w:pPr>
              <w:rPr>
                <w:rFonts w:ascii="Century Gothic" w:eastAsia="Times New Roman" w:hAnsi="Century Gothic"/>
                <w:sz w:val="20"/>
                <w:szCs w:val="20"/>
                <w:lang w:val="en-US"/>
              </w:rPr>
            </w:pPr>
            <w:r w:rsidRPr="00241BE3">
              <w:rPr>
                <w:rFonts w:ascii="Century Gothic" w:eastAsia="Times New Roman" w:hAnsi="Century Gothic"/>
                <w:sz w:val="20"/>
                <w:szCs w:val="20"/>
                <w:lang w:val="en-US"/>
              </w:rPr>
              <w:t xml:space="preserve">People who need significant growth in capital over the longer term, typically those still working and saving to retire. </w:t>
            </w:r>
            <w:r w:rsidR="00CE043A" w:rsidRPr="00241BE3">
              <w:rPr>
                <w:rFonts w:ascii="Century Gothic" w:eastAsia="Times New Roman" w:hAnsi="Century Gothic"/>
                <w:sz w:val="20"/>
                <w:szCs w:val="20"/>
                <w:lang w:val="en-US"/>
              </w:rPr>
              <w:t>Also,</w:t>
            </w:r>
            <w:r w:rsidRPr="00241BE3">
              <w:rPr>
                <w:rFonts w:ascii="Century Gothic" w:eastAsia="Times New Roman" w:hAnsi="Century Gothic"/>
                <w:sz w:val="20"/>
                <w:szCs w:val="20"/>
                <w:lang w:val="en-US"/>
              </w:rPr>
              <w:t xml:space="preserve"> for those that don’t need significant growth, but also wish to take more than inflation risk</w:t>
            </w:r>
          </w:p>
        </w:tc>
      </w:tr>
      <w:tr w:rsidR="00485F49" w:rsidRPr="00810F4F" w14:paraId="7A1E2C1B" w14:textId="77777777" w:rsidTr="003B461C">
        <w:trPr>
          <w:trHeight w:val="451"/>
        </w:trPr>
        <w:tc>
          <w:tcPr>
            <w:tcW w:w="732" w:type="pct"/>
            <w:vMerge/>
            <w:tcBorders>
              <w:top w:val="nil"/>
              <w:left w:val="single" w:sz="4" w:space="0" w:color="auto"/>
              <w:bottom w:val="single" w:sz="4" w:space="0" w:color="000000"/>
              <w:right w:val="single" w:sz="4" w:space="0" w:color="auto"/>
            </w:tcBorders>
            <w:vAlign w:val="center"/>
            <w:hideMark/>
          </w:tcPr>
          <w:p w14:paraId="473E5220" w14:textId="77777777" w:rsidR="00485F49" w:rsidRPr="00241BE3" w:rsidRDefault="00485F49" w:rsidP="005941DF">
            <w:pPr>
              <w:rPr>
                <w:rFonts w:ascii="Century Gothic" w:eastAsia="Times New Roman" w:hAnsi="Century Gothic"/>
                <w:sz w:val="20"/>
                <w:szCs w:val="20"/>
                <w:lang w:val="en-US"/>
              </w:rPr>
            </w:pPr>
          </w:p>
        </w:tc>
        <w:tc>
          <w:tcPr>
            <w:tcW w:w="1149" w:type="pct"/>
            <w:vMerge/>
            <w:tcBorders>
              <w:top w:val="single" w:sz="4" w:space="0" w:color="auto"/>
              <w:left w:val="single" w:sz="4" w:space="0" w:color="auto"/>
              <w:bottom w:val="single" w:sz="4" w:space="0" w:color="000000"/>
              <w:right w:val="single" w:sz="4" w:space="0" w:color="000000"/>
            </w:tcBorders>
            <w:vAlign w:val="center"/>
            <w:hideMark/>
          </w:tcPr>
          <w:p w14:paraId="3CE1759C" w14:textId="77777777" w:rsidR="00485F49" w:rsidRPr="00241BE3" w:rsidRDefault="00485F49" w:rsidP="005941DF">
            <w:pPr>
              <w:rPr>
                <w:rFonts w:ascii="Century Gothic" w:eastAsia="Times New Roman" w:hAnsi="Century Gothic"/>
                <w:sz w:val="20"/>
                <w:szCs w:val="20"/>
                <w:lang w:val="en-US"/>
              </w:rPr>
            </w:pPr>
          </w:p>
        </w:tc>
        <w:tc>
          <w:tcPr>
            <w:tcW w:w="1641" w:type="pct"/>
            <w:vMerge/>
            <w:tcBorders>
              <w:top w:val="single" w:sz="4" w:space="0" w:color="auto"/>
              <w:left w:val="single" w:sz="4" w:space="0" w:color="auto"/>
              <w:bottom w:val="single" w:sz="4" w:space="0" w:color="000000"/>
              <w:right w:val="single" w:sz="4" w:space="0" w:color="000000"/>
            </w:tcBorders>
            <w:vAlign w:val="center"/>
            <w:hideMark/>
          </w:tcPr>
          <w:p w14:paraId="3069AF4D" w14:textId="77777777" w:rsidR="00485F49" w:rsidRPr="00241BE3" w:rsidRDefault="00485F49" w:rsidP="005941DF">
            <w:pPr>
              <w:rPr>
                <w:rFonts w:ascii="Century Gothic" w:eastAsia="Times New Roman" w:hAnsi="Century Gothic"/>
                <w:sz w:val="20"/>
                <w:szCs w:val="20"/>
                <w:lang w:val="en-US"/>
              </w:rPr>
            </w:pPr>
          </w:p>
        </w:tc>
        <w:tc>
          <w:tcPr>
            <w:tcW w:w="1478" w:type="pct"/>
            <w:vMerge/>
            <w:tcBorders>
              <w:top w:val="nil"/>
              <w:left w:val="single" w:sz="4" w:space="0" w:color="auto"/>
              <w:bottom w:val="single" w:sz="4" w:space="0" w:color="000000"/>
              <w:right w:val="single" w:sz="4" w:space="0" w:color="auto"/>
            </w:tcBorders>
            <w:vAlign w:val="center"/>
            <w:hideMark/>
          </w:tcPr>
          <w:p w14:paraId="6176D757" w14:textId="77777777" w:rsidR="00485F49" w:rsidRPr="00241BE3" w:rsidRDefault="00485F49" w:rsidP="005941DF">
            <w:pPr>
              <w:rPr>
                <w:rFonts w:ascii="Century Gothic" w:eastAsia="Times New Roman" w:hAnsi="Century Gothic"/>
                <w:sz w:val="20"/>
                <w:szCs w:val="20"/>
                <w:lang w:val="en-US"/>
              </w:rPr>
            </w:pPr>
          </w:p>
        </w:tc>
      </w:tr>
      <w:tr w:rsidR="00485F49" w:rsidRPr="00810F4F" w14:paraId="1195343F" w14:textId="77777777" w:rsidTr="003B461C">
        <w:trPr>
          <w:trHeight w:val="451"/>
        </w:trPr>
        <w:tc>
          <w:tcPr>
            <w:tcW w:w="732" w:type="pct"/>
            <w:vMerge/>
            <w:tcBorders>
              <w:top w:val="nil"/>
              <w:left w:val="single" w:sz="4" w:space="0" w:color="auto"/>
              <w:bottom w:val="single" w:sz="4" w:space="0" w:color="000000"/>
              <w:right w:val="single" w:sz="4" w:space="0" w:color="auto"/>
            </w:tcBorders>
            <w:vAlign w:val="center"/>
            <w:hideMark/>
          </w:tcPr>
          <w:p w14:paraId="728EF87F" w14:textId="77777777" w:rsidR="00485F49" w:rsidRPr="00241BE3" w:rsidRDefault="00485F49" w:rsidP="005941DF">
            <w:pPr>
              <w:rPr>
                <w:rFonts w:ascii="Century Gothic" w:eastAsia="Times New Roman" w:hAnsi="Century Gothic"/>
                <w:sz w:val="20"/>
                <w:szCs w:val="20"/>
                <w:lang w:val="en-US"/>
              </w:rPr>
            </w:pPr>
          </w:p>
        </w:tc>
        <w:tc>
          <w:tcPr>
            <w:tcW w:w="1149" w:type="pct"/>
            <w:vMerge/>
            <w:tcBorders>
              <w:top w:val="single" w:sz="4" w:space="0" w:color="auto"/>
              <w:left w:val="single" w:sz="4" w:space="0" w:color="auto"/>
              <w:bottom w:val="single" w:sz="4" w:space="0" w:color="000000"/>
              <w:right w:val="single" w:sz="4" w:space="0" w:color="000000"/>
            </w:tcBorders>
            <w:vAlign w:val="center"/>
            <w:hideMark/>
          </w:tcPr>
          <w:p w14:paraId="71E02788" w14:textId="77777777" w:rsidR="00485F49" w:rsidRPr="00241BE3" w:rsidRDefault="00485F49" w:rsidP="005941DF">
            <w:pPr>
              <w:rPr>
                <w:rFonts w:ascii="Century Gothic" w:eastAsia="Times New Roman" w:hAnsi="Century Gothic"/>
                <w:sz w:val="20"/>
                <w:szCs w:val="20"/>
                <w:lang w:val="en-US"/>
              </w:rPr>
            </w:pPr>
          </w:p>
        </w:tc>
        <w:tc>
          <w:tcPr>
            <w:tcW w:w="1641" w:type="pct"/>
            <w:vMerge/>
            <w:tcBorders>
              <w:top w:val="single" w:sz="4" w:space="0" w:color="auto"/>
              <w:left w:val="single" w:sz="4" w:space="0" w:color="auto"/>
              <w:bottom w:val="single" w:sz="4" w:space="0" w:color="000000"/>
              <w:right w:val="single" w:sz="4" w:space="0" w:color="000000"/>
            </w:tcBorders>
            <w:vAlign w:val="center"/>
            <w:hideMark/>
          </w:tcPr>
          <w:p w14:paraId="3F596EF0" w14:textId="77777777" w:rsidR="00485F49" w:rsidRPr="00241BE3" w:rsidRDefault="00485F49" w:rsidP="005941DF">
            <w:pPr>
              <w:rPr>
                <w:rFonts w:ascii="Century Gothic" w:eastAsia="Times New Roman" w:hAnsi="Century Gothic"/>
                <w:sz w:val="20"/>
                <w:szCs w:val="20"/>
                <w:lang w:val="en-US"/>
              </w:rPr>
            </w:pPr>
          </w:p>
        </w:tc>
        <w:tc>
          <w:tcPr>
            <w:tcW w:w="1478" w:type="pct"/>
            <w:vMerge/>
            <w:tcBorders>
              <w:top w:val="nil"/>
              <w:left w:val="single" w:sz="4" w:space="0" w:color="auto"/>
              <w:bottom w:val="single" w:sz="4" w:space="0" w:color="000000"/>
              <w:right w:val="single" w:sz="4" w:space="0" w:color="auto"/>
            </w:tcBorders>
            <w:vAlign w:val="center"/>
            <w:hideMark/>
          </w:tcPr>
          <w:p w14:paraId="6501C1A1" w14:textId="77777777" w:rsidR="00485F49" w:rsidRPr="00241BE3" w:rsidRDefault="00485F49" w:rsidP="005941DF">
            <w:pPr>
              <w:rPr>
                <w:rFonts w:ascii="Century Gothic" w:eastAsia="Times New Roman" w:hAnsi="Century Gothic"/>
                <w:sz w:val="20"/>
                <w:szCs w:val="20"/>
                <w:lang w:val="en-US"/>
              </w:rPr>
            </w:pPr>
          </w:p>
        </w:tc>
      </w:tr>
      <w:tr w:rsidR="00485F49" w:rsidRPr="00810F4F" w14:paraId="00F20A2B" w14:textId="77777777" w:rsidTr="003B461C">
        <w:trPr>
          <w:trHeight w:val="451"/>
        </w:trPr>
        <w:tc>
          <w:tcPr>
            <w:tcW w:w="732" w:type="pct"/>
            <w:vMerge/>
            <w:tcBorders>
              <w:top w:val="nil"/>
              <w:left w:val="single" w:sz="4" w:space="0" w:color="auto"/>
              <w:bottom w:val="single" w:sz="4" w:space="0" w:color="000000"/>
              <w:right w:val="single" w:sz="4" w:space="0" w:color="auto"/>
            </w:tcBorders>
            <w:vAlign w:val="center"/>
            <w:hideMark/>
          </w:tcPr>
          <w:p w14:paraId="24020824" w14:textId="77777777" w:rsidR="00485F49" w:rsidRPr="00241BE3" w:rsidRDefault="00485F49" w:rsidP="005941DF">
            <w:pPr>
              <w:rPr>
                <w:rFonts w:ascii="Century Gothic" w:eastAsia="Times New Roman" w:hAnsi="Century Gothic"/>
                <w:sz w:val="20"/>
                <w:szCs w:val="20"/>
                <w:lang w:val="en-US"/>
              </w:rPr>
            </w:pPr>
          </w:p>
        </w:tc>
        <w:tc>
          <w:tcPr>
            <w:tcW w:w="1149" w:type="pct"/>
            <w:vMerge/>
            <w:tcBorders>
              <w:top w:val="single" w:sz="4" w:space="0" w:color="auto"/>
              <w:left w:val="single" w:sz="4" w:space="0" w:color="auto"/>
              <w:bottom w:val="single" w:sz="4" w:space="0" w:color="000000"/>
              <w:right w:val="single" w:sz="4" w:space="0" w:color="000000"/>
            </w:tcBorders>
            <w:vAlign w:val="center"/>
            <w:hideMark/>
          </w:tcPr>
          <w:p w14:paraId="7CFF09D7" w14:textId="77777777" w:rsidR="00485F49" w:rsidRPr="00241BE3" w:rsidRDefault="00485F49" w:rsidP="005941DF">
            <w:pPr>
              <w:rPr>
                <w:rFonts w:ascii="Century Gothic" w:eastAsia="Times New Roman" w:hAnsi="Century Gothic"/>
                <w:sz w:val="20"/>
                <w:szCs w:val="20"/>
                <w:lang w:val="en-US"/>
              </w:rPr>
            </w:pPr>
          </w:p>
        </w:tc>
        <w:tc>
          <w:tcPr>
            <w:tcW w:w="1641" w:type="pct"/>
            <w:vMerge/>
            <w:tcBorders>
              <w:top w:val="single" w:sz="4" w:space="0" w:color="auto"/>
              <w:left w:val="single" w:sz="4" w:space="0" w:color="auto"/>
              <w:bottom w:val="single" w:sz="4" w:space="0" w:color="000000"/>
              <w:right w:val="single" w:sz="4" w:space="0" w:color="000000"/>
            </w:tcBorders>
            <w:vAlign w:val="center"/>
            <w:hideMark/>
          </w:tcPr>
          <w:p w14:paraId="5F298938" w14:textId="77777777" w:rsidR="00485F49" w:rsidRPr="00241BE3" w:rsidRDefault="00485F49" w:rsidP="005941DF">
            <w:pPr>
              <w:rPr>
                <w:rFonts w:ascii="Century Gothic" w:eastAsia="Times New Roman" w:hAnsi="Century Gothic"/>
                <w:sz w:val="20"/>
                <w:szCs w:val="20"/>
                <w:lang w:val="en-US"/>
              </w:rPr>
            </w:pPr>
          </w:p>
        </w:tc>
        <w:tc>
          <w:tcPr>
            <w:tcW w:w="1478" w:type="pct"/>
            <w:vMerge/>
            <w:tcBorders>
              <w:top w:val="nil"/>
              <w:left w:val="single" w:sz="4" w:space="0" w:color="auto"/>
              <w:bottom w:val="single" w:sz="4" w:space="0" w:color="000000"/>
              <w:right w:val="single" w:sz="4" w:space="0" w:color="auto"/>
            </w:tcBorders>
            <w:vAlign w:val="center"/>
            <w:hideMark/>
          </w:tcPr>
          <w:p w14:paraId="57821CF5" w14:textId="77777777" w:rsidR="00485F49" w:rsidRPr="00241BE3" w:rsidRDefault="00485F49" w:rsidP="005941DF">
            <w:pPr>
              <w:rPr>
                <w:rFonts w:ascii="Century Gothic" w:eastAsia="Times New Roman" w:hAnsi="Century Gothic"/>
                <w:sz w:val="20"/>
                <w:szCs w:val="20"/>
                <w:lang w:val="en-US"/>
              </w:rPr>
            </w:pPr>
          </w:p>
        </w:tc>
      </w:tr>
      <w:tr w:rsidR="00485F49" w:rsidRPr="00810F4F" w14:paraId="2B462676" w14:textId="77777777" w:rsidTr="003B461C">
        <w:trPr>
          <w:trHeight w:val="780"/>
        </w:trPr>
        <w:tc>
          <w:tcPr>
            <w:tcW w:w="732" w:type="pct"/>
            <w:vMerge/>
            <w:tcBorders>
              <w:top w:val="nil"/>
              <w:left w:val="single" w:sz="4" w:space="0" w:color="auto"/>
              <w:bottom w:val="single" w:sz="4" w:space="0" w:color="000000"/>
              <w:right w:val="single" w:sz="4" w:space="0" w:color="auto"/>
            </w:tcBorders>
            <w:vAlign w:val="center"/>
            <w:hideMark/>
          </w:tcPr>
          <w:p w14:paraId="607CC945" w14:textId="77777777" w:rsidR="00485F49" w:rsidRPr="00241BE3" w:rsidRDefault="00485F49" w:rsidP="005941DF">
            <w:pPr>
              <w:rPr>
                <w:rFonts w:ascii="Century Gothic" w:eastAsia="Times New Roman" w:hAnsi="Century Gothic"/>
                <w:sz w:val="20"/>
                <w:szCs w:val="20"/>
                <w:lang w:val="en-US"/>
              </w:rPr>
            </w:pPr>
          </w:p>
        </w:tc>
        <w:tc>
          <w:tcPr>
            <w:tcW w:w="1149" w:type="pct"/>
            <w:vMerge/>
            <w:tcBorders>
              <w:top w:val="single" w:sz="4" w:space="0" w:color="auto"/>
              <w:left w:val="single" w:sz="4" w:space="0" w:color="auto"/>
              <w:bottom w:val="single" w:sz="4" w:space="0" w:color="000000"/>
              <w:right w:val="single" w:sz="4" w:space="0" w:color="000000"/>
            </w:tcBorders>
            <w:vAlign w:val="center"/>
            <w:hideMark/>
          </w:tcPr>
          <w:p w14:paraId="2E423802" w14:textId="77777777" w:rsidR="00485F49" w:rsidRPr="00241BE3" w:rsidRDefault="00485F49" w:rsidP="005941DF">
            <w:pPr>
              <w:rPr>
                <w:rFonts w:ascii="Century Gothic" w:eastAsia="Times New Roman" w:hAnsi="Century Gothic"/>
                <w:sz w:val="20"/>
                <w:szCs w:val="20"/>
                <w:lang w:val="en-US"/>
              </w:rPr>
            </w:pPr>
          </w:p>
        </w:tc>
        <w:tc>
          <w:tcPr>
            <w:tcW w:w="1641" w:type="pct"/>
            <w:vMerge/>
            <w:tcBorders>
              <w:top w:val="single" w:sz="4" w:space="0" w:color="auto"/>
              <w:left w:val="single" w:sz="4" w:space="0" w:color="auto"/>
              <w:bottom w:val="single" w:sz="4" w:space="0" w:color="000000"/>
              <w:right w:val="single" w:sz="4" w:space="0" w:color="000000"/>
            </w:tcBorders>
            <w:vAlign w:val="center"/>
            <w:hideMark/>
          </w:tcPr>
          <w:p w14:paraId="3D6B5ECC" w14:textId="77777777" w:rsidR="00485F49" w:rsidRPr="00241BE3" w:rsidRDefault="00485F49" w:rsidP="005941DF">
            <w:pPr>
              <w:rPr>
                <w:rFonts w:ascii="Century Gothic" w:eastAsia="Times New Roman" w:hAnsi="Century Gothic"/>
                <w:sz w:val="20"/>
                <w:szCs w:val="20"/>
                <w:lang w:val="en-US"/>
              </w:rPr>
            </w:pPr>
          </w:p>
        </w:tc>
        <w:tc>
          <w:tcPr>
            <w:tcW w:w="1478" w:type="pct"/>
            <w:vMerge/>
            <w:tcBorders>
              <w:top w:val="nil"/>
              <w:left w:val="single" w:sz="4" w:space="0" w:color="auto"/>
              <w:bottom w:val="single" w:sz="4" w:space="0" w:color="000000"/>
              <w:right w:val="single" w:sz="4" w:space="0" w:color="auto"/>
            </w:tcBorders>
            <w:vAlign w:val="center"/>
            <w:hideMark/>
          </w:tcPr>
          <w:p w14:paraId="5B20892E" w14:textId="77777777" w:rsidR="00485F49" w:rsidRPr="00241BE3" w:rsidRDefault="00485F49" w:rsidP="005941DF">
            <w:pPr>
              <w:rPr>
                <w:rFonts w:ascii="Century Gothic" w:eastAsia="Times New Roman" w:hAnsi="Century Gothic"/>
                <w:sz w:val="20"/>
                <w:szCs w:val="20"/>
                <w:lang w:val="en-US"/>
              </w:rPr>
            </w:pPr>
          </w:p>
        </w:tc>
      </w:tr>
      <w:tr w:rsidR="00485F49" w:rsidRPr="00810F4F" w14:paraId="40B18FE7" w14:textId="77777777" w:rsidTr="003B461C">
        <w:trPr>
          <w:trHeight w:val="1600"/>
        </w:trPr>
        <w:tc>
          <w:tcPr>
            <w:tcW w:w="732" w:type="pct"/>
            <w:vMerge/>
            <w:tcBorders>
              <w:top w:val="nil"/>
              <w:left w:val="single" w:sz="4" w:space="0" w:color="auto"/>
              <w:bottom w:val="single" w:sz="4" w:space="0" w:color="000000"/>
              <w:right w:val="single" w:sz="4" w:space="0" w:color="auto"/>
            </w:tcBorders>
            <w:vAlign w:val="center"/>
            <w:hideMark/>
          </w:tcPr>
          <w:p w14:paraId="3D3E45A0" w14:textId="77777777" w:rsidR="00485F49" w:rsidRPr="00241BE3" w:rsidRDefault="00485F49" w:rsidP="005941DF">
            <w:pPr>
              <w:rPr>
                <w:rFonts w:ascii="Century Gothic" w:eastAsia="Times New Roman" w:hAnsi="Century Gothic"/>
                <w:sz w:val="20"/>
                <w:szCs w:val="20"/>
                <w:lang w:val="en-US"/>
              </w:rPr>
            </w:pPr>
          </w:p>
        </w:tc>
        <w:tc>
          <w:tcPr>
            <w:tcW w:w="1149" w:type="pct"/>
            <w:vMerge/>
            <w:tcBorders>
              <w:top w:val="single" w:sz="4" w:space="0" w:color="auto"/>
              <w:left w:val="single" w:sz="4" w:space="0" w:color="auto"/>
              <w:bottom w:val="single" w:sz="4" w:space="0" w:color="000000"/>
              <w:right w:val="single" w:sz="4" w:space="0" w:color="000000"/>
            </w:tcBorders>
            <w:vAlign w:val="center"/>
            <w:hideMark/>
          </w:tcPr>
          <w:p w14:paraId="1901CCEA" w14:textId="77777777" w:rsidR="00485F49" w:rsidRPr="00241BE3" w:rsidRDefault="00485F49" w:rsidP="005941DF">
            <w:pPr>
              <w:rPr>
                <w:rFonts w:ascii="Century Gothic" w:eastAsia="Times New Roman" w:hAnsi="Century Gothic"/>
                <w:sz w:val="20"/>
                <w:szCs w:val="20"/>
                <w:lang w:val="en-US"/>
              </w:rPr>
            </w:pPr>
          </w:p>
        </w:tc>
        <w:tc>
          <w:tcPr>
            <w:tcW w:w="1641" w:type="pct"/>
            <w:vMerge/>
            <w:tcBorders>
              <w:top w:val="single" w:sz="4" w:space="0" w:color="auto"/>
              <w:left w:val="single" w:sz="4" w:space="0" w:color="auto"/>
              <w:bottom w:val="single" w:sz="4" w:space="0" w:color="000000"/>
              <w:right w:val="single" w:sz="4" w:space="0" w:color="000000"/>
            </w:tcBorders>
            <w:vAlign w:val="center"/>
            <w:hideMark/>
          </w:tcPr>
          <w:p w14:paraId="751EF2EA" w14:textId="77777777" w:rsidR="00485F49" w:rsidRPr="00241BE3" w:rsidRDefault="00485F49" w:rsidP="005941DF">
            <w:pPr>
              <w:rPr>
                <w:rFonts w:ascii="Century Gothic" w:eastAsia="Times New Roman" w:hAnsi="Century Gothic"/>
                <w:sz w:val="20"/>
                <w:szCs w:val="20"/>
                <w:lang w:val="en-US"/>
              </w:rPr>
            </w:pPr>
          </w:p>
        </w:tc>
        <w:tc>
          <w:tcPr>
            <w:tcW w:w="1478" w:type="pct"/>
            <w:vMerge/>
            <w:tcBorders>
              <w:top w:val="nil"/>
              <w:left w:val="single" w:sz="4" w:space="0" w:color="auto"/>
              <w:bottom w:val="single" w:sz="4" w:space="0" w:color="000000"/>
              <w:right w:val="single" w:sz="4" w:space="0" w:color="auto"/>
            </w:tcBorders>
            <w:vAlign w:val="center"/>
            <w:hideMark/>
          </w:tcPr>
          <w:p w14:paraId="3F59E6E8" w14:textId="77777777" w:rsidR="00485F49" w:rsidRPr="00241BE3" w:rsidRDefault="00485F49" w:rsidP="005941DF">
            <w:pPr>
              <w:rPr>
                <w:rFonts w:ascii="Century Gothic" w:eastAsia="Times New Roman" w:hAnsi="Century Gothic"/>
                <w:sz w:val="20"/>
                <w:szCs w:val="20"/>
                <w:lang w:val="en-US"/>
              </w:rPr>
            </w:pPr>
          </w:p>
        </w:tc>
      </w:tr>
      <w:tr w:rsidR="00485F49" w:rsidRPr="00810F4F" w14:paraId="5E6B3464" w14:textId="77777777" w:rsidTr="003B461C">
        <w:trPr>
          <w:trHeight w:val="451"/>
        </w:trPr>
        <w:tc>
          <w:tcPr>
            <w:tcW w:w="732" w:type="pct"/>
            <w:vMerge w:val="restart"/>
            <w:tcBorders>
              <w:top w:val="nil"/>
              <w:left w:val="single" w:sz="4" w:space="0" w:color="auto"/>
              <w:bottom w:val="single" w:sz="4" w:space="0" w:color="auto"/>
              <w:right w:val="single" w:sz="4" w:space="0" w:color="auto"/>
            </w:tcBorders>
            <w:shd w:val="clear" w:color="000000" w:fill="FFCC99"/>
            <w:vAlign w:val="center"/>
            <w:hideMark/>
          </w:tcPr>
          <w:p w14:paraId="76EA6CDA" w14:textId="77777777" w:rsidR="00485F49" w:rsidRPr="00241BE3" w:rsidRDefault="00485F49" w:rsidP="005941DF">
            <w:pPr>
              <w:jc w:val="center"/>
              <w:rPr>
                <w:rFonts w:ascii="Century Gothic" w:eastAsia="Times New Roman" w:hAnsi="Century Gothic"/>
                <w:sz w:val="20"/>
                <w:szCs w:val="20"/>
                <w:lang w:val="en-US"/>
              </w:rPr>
            </w:pPr>
            <w:r w:rsidRPr="00241BE3">
              <w:rPr>
                <w:rFonts w:ascii="Century Gothic" w:eastAsia="Times New Roman" w:hAnsi="Century Gothic"/>
                <w:sz w:val="20"/>
                <w:szCs w:val="20"/>
                <w:lang w:val="en-US"/>
              </w:rPr>
              <w:t xml:space="preserve">High </w:t>
            </w:r>
          </w:p>
        </w:tc>
        <w:tc>
          <w:tcPr>
            <w:tcW w:w="1149" w:type="pct"/>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1A5EE288" w14:textId="77777777" w:rsidR="00485F49" w:rsidRPr="00241BE3" w:rsidRDefault="00485F49" w:rsidP="005941DF">
            <w:pPr>
              <w:rPr>
                <w:rFonts w:ascii="Century Gothic" w:eastAsia="Times New Roman" w:hAnsi="Century Gothic"/>
                <w:sz w:val="20"/>
                <w:szCs w:val="20"/>
                <w:lang w:val="en-US"/>
              </w:rPr>
            </w:pPr>
            <w:r w:rsidRPr="00241BE3">
              <w:rPr>
                <w:rFonts w:ascii="Century Gothic" w:eastAsia="Times New Roman" w:hAnsi="Century Gothic"/>
                <w:sz w:val="20"/>
                <w:szCs w:val="20"/>
                <w:lang w:val="en-US"/>
              </w:rPr>
              <w:t>Large rises and falls in value would be expected. Over time the expectation would for large growth, but with chances of significant losses.</w:t>
            </w:r>
          </w:p>
        </w:tc>
        <w:tc>
          <w:tcPr>
            <w:tcW w:w="1641" w:type="pct"/>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45252E48" w14:textId="24E05485" w:rsidR="00485F49" w:rsidRPr="00241BE3" w:rsidRDefault="00485F49" w:rsidP="005941DF">
            <w:pPr>
              <w:rPr>
                <w:rFonts w:ascii="Century Gothic" w:eastAsia="Times New Roman" w:hAnsi="Century Gothic"/>
                <w:sz w:val="20"/>
                <w:szCs w:val="20"/>
                <w:lang w:val="en-US"/>
              </w:rPr>
            </w:pPr>
            <w:r w:rsidRPr="00241BE3">
              <w:rPr>
                <w:rFonts w:ascii="Century Gothic" w:eastAsia="Times New Roman" w:hAnsi="Century Gothic"/>
                <w:sz w:val="20"/>
                <w:szCs w:val="20"/>
                <w:lang w:val="en-US"/>
              </w:rPr>
              <w:t xml:space="preserve">Investments may not always be immediately accessible. Losses may take some time to be recovered, and in some circumstances initial values may not be recovered. Over longer time </w:t>
            </w:r>
            <w:r w:rsidR="00CE043A" w:rsidRPr="00241BE3">
              <w:rPr>
                <w:rFonts w:ascii="Century Gothic" w:eastAsia="Times New Roman" w:hAnsi="Century Gothic"/>
                <w:sz w:val="20"/>
                <w:szCs w:val="20"/>
                <w:lang w:val="en-US"/>
              </w:rPr>
              <w:t>periods large</w:t>
            </w:r>
            <w:r w:rsidRPr="00241BE3">
              <w:rPr>
                <w:rFonts w:ascii="Century Gothic" w:eastAsia="Times New Roman" w:hAnsi="Century Gothic"/>
                <w:sz w:val="20"/>
                <w:szCs w:val="20"/>
                <w:lang w:val="en-US"/>
              </w:rPr>
              <w:t xml:space="preserve"> gains would be expected but not guaranteed. Investments would be particularly susceptible to catastrophes such as the 1987 and 2007 crashes</w:t>
            </w:r>
          </w:p>
        </w:tc>
        <w:tc>
          <w:tcPr>
            <w:tcW w:w="1478" w:type="pct"/>
            <w:vMerge w:val="restart"/>
            <w:tcBorders>
              <w:top w:val="nil"/>
              <w:left w:val="single" w:sz="4" w:space="0" w:color="auto"/>
              <w:bottom w:val="single" w:sz="4" w:space="0" w:color="000000"/>
              <w:right w:val="single" w:sz="4" w:space="0" w:color="auto"/>
            </w:tcBorders>
            <w:shd w:val="clear" w:color="000000" w:fill="FFCC99"/>
            <w:vAlign w:val="center"/>
            <w:hideMark/>
          </w:tcPr>
          <w:p w14:paraId="3E6D66CF" w14:textId="4D1727AA" w:rsidR="00485F49" w:rsidRPr="00241BE3" w:rsidRDefault="00485F49" w:rsidP="005941DF">
            <w:pPr>
              <w:rPr>
                <w:rFonts w:ascii="Century Gothic" w:eastAsia="Times New Roman" w:hAnsi="Century Gothic"/>
                <w:sz w:val="20"/>
                <w:szCs w:val="20"/>
                <w:lang w:val="en-US"/>
              </w:rPr>
            </w:pPr>
            <w:r w:rsidRPr="00241BE3">
              <w:rPr>
                <w:rFonts w:ascii="Century Gothic" w:eastAsia="Times New Roman" w:hAnsi="Century Gothic"/>
                <w:sz w:val="20"/>
                <w:szCs w:val="20"/>
                <w:lang w:val="en-US"/>
              </w:rPr>
              <w:t xml:space="preserve">People who need to make large profits mainly over the relatively short term (although 5 years +). </w:t>
            </w:r>
            <w:r w:rsidR="00CE043A" w:rsidRPr="00241BE3">
              <w:rPr>
                <w:rFonts w:ascii="Century Gothic" w:eastAsia="Times New Roman" w:hAnsi="Century Gothic"/>
                <w:sz w:val="20"/>
                <w:szCs w:val="20"/>
                <w:lang w:val="en-US"/>
              </w:rPr>
              <w:t>Alternatively,</w:t>
            </w:r>
            <w:r w:rsidRPr="00241BE3">
              <w:rPr>
                <w:rFonts w:ascii="Century Gothic" w:eastAsia="Times New Roman" w:hAnsi="Century Gothic"/>
                <w:sz w:val="20"/>
                <w:szCs w:val="20"/>
                <w:lang w:val="en-US"/>
              </w:rPr>
              <w:t xml:space="preserve"> people with significant growth requirements but with very long time horizons, or people who don’t need to take risk but just want to.</w:t>
            </w:r>
          </w:p>
        </w:tc>
      </w:tr>
      <w:tr w:rsidR="00485F49" w:rsidRPr="00810F4F" w14:paraId="65740539" w14:textId="77777777" w:rsidTr="003B461C">
        <w:trPr>
          <w:trHeight w:val="451"/>
        </w:trPr>
        <w:tc>
          <w:tcPr>
            <w:tcW w:w="732" w:type="pct"/>
            <w:vMerge/>
            <w:tcBorders>
              <w:top w:val="nil"/>
              <w:left w:val="single" w:sz="4" w:space="0" w:color="auto"/>
              <w:bottom w:val="single" w:sz="4" w:space="0" w:color="auto"/>
              <w:right w:val="single" w:sz="4" w:space="0" w:color="auto"/>
            </w:tcBorders>
            <w:vAlign w:val="center"/>
            <w:hideMark/>
          </w:tcPr>
          <w:p w14:paraId="51C5C841" w14:textId="77777777" w:rsidR="00485F49" w:rsidRPr="00241BE3" w:rsidRDefault="00485F49" w:rsidP="005941DF">
            <w:pPr>
              <w:rPr>
                <w:rFonts w:ascii="Century Gothic" w:eastAsia="Times New Roman" w:hAnsi="Century Gothic"/>
                <w:sz w:val="20"/>
                <w:szCs w:val="20"/>
                <w:lang w:val="en-US"/>
              </w:rPr>
            </w:pPr>
          </w:p>
        </w:tc>
        <w:tc>
          <w:tcPr>
            <w:tcW w:w="1149" w:type="pct"/>
            <w:vMerge/>
            <w:tcBorders>
              <w:top w:val="single" w:sz="4" w:space="0" w:color="auto"/>
              <w:left w:val="single" w:sz="4" w:space="0" w:color="auto"/>
              <w:bottom w:val="single" w:sz="4" w:space="0" w:color="000000"/>
              <w:right w:val="single" w:sz="4" w:space="0" w:color="000000"/>
            </w:tcBorders>
            <w:vAlign w:val="center"/>
            <w:hideMark/>
          </w:tcPr>
          <w:p w14:paraId="2BA03CFB" w14:textId="77777777" w:rsidR="00485F49" w:rsidRPr="00241BE3" w:rsidRDefault="00485F49" w:rsidP="005941DF">
            <w:pPr>
              <w:rPr>
                <w:rFonts w:ascii="Century Gothic" w:eastAsia="Times New Roman" w:hAnsi="Century Gothic"/>
                <w:sz w:val="20"/>
                <w:szCs w:val="20"/>
                <w:lang w:val="en-US"/>
              </w:rPr>
            </w:pPr>
          </w:p>
        </w:tc>
        <w:tc>
          <w:tcPr>
            <w:tcW w:w="1641" w:type="pct"/>
            <w:vMerge/>
            <w:tcBorders>
              <w:top w:val="single" w:sz="4" w:space="0" w:color="auto"/>
              <w:left w:val="single" w:sz="4" w:space="0" w:color="auto"/>
              <w:bottom w:val="single" w:sz="4" w:space="0" w:color="auto"/>
              <w:right w:val="single" w:sz="4" w:space="0" w:color="auto"/>
            </w:tcBorders>
            <w:vAlign w:val="center"/>
            <w:hideMark/>
          </w:tcPr>
          <w:p w14:paraId="3D503B15" w14:textId="77777777" w:rsidR="00485F49" w:rsidRPr="00241BE3" w:rsidRDefault="00485F49" w:rsidP="005941DF">
            <w:pPr>
              <w:rPr>
                <w:rFonts w:ascii="Century Gothic" w:eastAsia="Times New Roman" w:hAnsi="Century Gothic"/>
                <w:sz w:val="20"/>
                <w:szCs w:val="20"/>
                <w:lang w:val="en-US"/>
              </w:rPr>
            </w:pPr>
          </w:p>
        </w:tc>
        <w:tc>
          <w:tcPr>
            <w:tcW w:w="1478" w:type="pct"/>
            <w:vMerge/>
            <w:tcBorders>
              <w:top w:val="nil"/>
              <w:left w:val="single" w:sz="4" w:space="0" w:color="auto"/>
              <w:bottom w:val="single" w:sz="4" w:space="0" w:color="000000"/>
              <w:right w:val="single" w:sz="4" w:space="0" w:color="auto"/>
            </w:tcBorders>
            <w:vAlign w:val="center"/>
            <w:hideMark/>
          </w:tcPr>
          <w:p w14:paraId="49F75C8F" w14:textId="77777777" w:rsidR="00485F49" w:rsidRPr="00241BE3" w:rsidRDefault="00485F49" w:rsidP="005941DF">
            <w:pPr>
              <w:rPr>
                <w:rFonts w:ascii="Century Gothic" w:eastAsia="Times New Roman" w:hAnsi="Century Gothic"/>
                <w:sz w:val="20"/>
                <w:szCs w:val="20"/>
                <w:lang w:val="en-US"/>
              </w:rPr>
            </w:pPr>
          </w:p>
        </w:tc>
      </w:tr>
      <w:tr w:rsidR="00485F49" w:rsidRPr="00810F4F" w14:paraId="68DA0B34" w14:textId="77777777" w:rsidTr="003B461C">
        <w:trPr>
          <w:trHeight w:val="451"/>
        </w:trPr>
        <w:tc>
          <w:tcPr>
            <w:tcW w:w="732" w:type="pct"/>
            <w:vMerge/>
            <w:tcBorders>
              <w:top w:val="nil"/>
              <w:left w:val="single" w:sz="4" w:space="0" w:color="auto"/>
              <w:bottom w:val="single" w:sz="4" w:space="0" w:color="auto"/>
              <w:right w:val="single" w:sz="4" w:space="0" w:color="auto"/>
            </w:tcBorders>
            <w:vAlign w:val="center"/>
            <w:hideMark/>
          </w:tcPr>
          <w:p w14:paraId="2EF9437C" w14:textId="77777777" w:rsidR="00485F49" w:rsidRPr="00241BE3" w:rsidRDefault="00485F49" w:rsidP="005941DF">
            <w:pPr>
              <w:rPr>
                <w:rFonts w:ascii="Century Gothic" w:eastAsia="Times New Roman" w:hAnsi="Century Gothic"/>
                <w:sz w:val="20"/>
                <w:szCs w:val="20"/>
                <w:lang w:val="en-US"/>
              </w:rPr>
            </w:pPr>
          </w:p>
        </w:tc>
        <w:tc>
          <w:tcPr>
            <w:tcW w:w="1149" w:type="pct"/>
            <w:vMerge/>
            <w:tcBorders>
              <w:top w:val="single" w:sz="4" w:space="0" w:color="auto"/>
              <w:left w:val="single" w:sz="4" w:space="0" w:color="auto"/>
              <w:bottom w:val="single" w:sz="4" w:space="0" w:color="000000"/>
              <w:right w:val="single" w:sz="4" w:space="0" w:color="000000"/>
            </w:tcBorders>
            <w:vAlign w:val="center"/>
            <w:hideMark/>
          </w:tcPr>
          <w:p w14:paraId="2B9EB57A" w14:textId="77777777" w:rsidR="00485F49" w:rsidRPr="00241BE3" w:rsidRDefault="00485F49" w:rsidP="005941DF">
            <w:pPr>
              <w:rPr>
                <w:rFonts w:ascii="Century Gothic" w:eastAsia="Times New Roman" w:hAnsi="Century Gothic"/>
                <w:sz w:val="20"/>
                <w:szCs w:val="20"/>
                <w:lang w:val="en-US"/>
              </w:rPr>
            </w:pPr>
          </w:p>
        </w:tc>
        <w:tc>
          <w:tcPr>
            <w:tcW w:w="1641" w:type="pct"/>
            <w:vMerge/>
            <w:tcBorders>
              <w:top w:val="single" w:sz="4" w:space="0" w:color="auto"/>
              <w:left w:val="single" w:sz="4" w:space="0" w:color="auto"/>
              <w:bottom w:val="single" w:sz="4" w:space="0" w:color="auto"/>
              <w:right w:val="single" w:sz="4" w:space="0" w:color="auto"/>
            </w:tcBorders>
            <w:vAlign w:val="center"/>
            <w:hideMark/>
          </w:tcPr>
          <w:p w14:paraId="02A4E377" w14:textId="77777777" w:rsidR="00485F49" w:rsidRPr="00241BE3" w:rsidRDefault="00485F49" w:rsidP="005941DF">
            <w:pPr>
              <w:rPr>
                <w:rFonts w:ascii="Century Gothic" w:eastAsia="Times New Roman" w:hAnsi="Century Gothic"/>
                <w:sz w:val="20"/>
                <w:szCs w:val="20"/>
                <w:lang w:val="en-US"/>
              </w:rPr>
            </w:pPr>
          </w:p>
        </w:tc>
        <w:tc>
          <w:tcPr>
            <w:tcW w:w="1478" w:type="pct"/>
            <w:vMerge/>
            <w:tcBorders>
              <w:top w:val="nil"/>
              <w:left w:val="single" w:sz="4" w:space="0" w:color="auto"/>
              <w:bottom w:val="single" w:sz="4" w:space="0" w:color="000000"/>
              <w:right w:val="single" w:sz="4" w:space="0" w:color="auto"/>
            </w:tcBorders>
            <w:vAlign w:val="center"/>
            <w:hideMark/>
          </w:tcPr>
          <w:p w14:paraId="0AB6ED0D" w14:textId="77777777" w:rsidR="00485F49" w:rsidRPr="00241BE3" w:rsidRDefault="00485F49" w:rsidP="005941DF">
            <w:pPr>
              <w:rPr>
                <w:rFonts w:ascii="Century Gothic" w:eastAsia="Times New Roman" w:hAnsi="Century Gothic"/>
                <w:sz w:val="20"/>
                <w:szCs w:val="20"/>
                <w:lang w:val="en-US"/>
              </w:rPr>
            </w:pPr>
          </w:p>
        </w:tc>
      </w:tr>
      <w:tr w:rsidR="00485F49" w:rsidRPr="00810F4F" w14:paraId="2850D50C" w14:textId="77777777" w:rsidTr="003B461C">
        <w:trPr>
          <w:trHeight w:val="451"/>
        </w:trPr>
        <w:tc>
          <w:tcPr>
            <w:tcW w:w="732" w:type="pct"/>
            <w:vMerge/>
            <w:tcBorders>
              <w:top w:val="nil"/>
              <w:left w:val="single" w:sz="4" w:space="0" w:color="auto"/>
              <w:bottom w:val="single" w:sz="4" w:space="0" w:color="auto"/>
              <w:right w:val="single" w:sz="4" w:space="0" w:color="auto"/>
            </w:tcBorders>
            <w:vAlign w:val="center"/>
            <w:hideMark/>
          </w:tcPr>
          <w:p w14:paraId="0FECBBF9" w14:textId="77777777" w:rsidR="00485F49" w:rsidRPr="00241BE3" w:rsidRDefault="00485F49" w:rsidP="005941DF">
            <w:pPr>
              <w:rPr>
                <w:rFonts w:ascii="Century Gothic" w:eastAsia="Times New Roman" w:hAnsi="Century Gothic"/>
                <w:sz w:val="20"/>
                <w:szCs w:val="20"/>
                <w:lang w:val="en-US"/>
              </w:rPr>
            </w:pPr>
          </w:p>
        </w:tc>
        <w:tc>
          <w:tcPr>
            <w:tcW w:w="1149" w:type="pct"/>
            <w:vMerge/>
            <w:tcBorders>
              <w:top w:val="single" w:sz="4" w:space="0" w:color="auto"/>
              <w:left w:val="single" w:sz="4" w:space="0" w:color="auto"/>
              <w:bottom w:val="single" w:sz="4" w:space="0" w:color="000000"/>
              <w:right w:val="single" w:sz="4" w:space="0" w:color="000000"/>
            </w:tcBorders>
            <w:vAlign w:val="center"/>
            <w:hideMark/>
          </w:tcPr>
          <w:p w14:paraId="07F3F4CF" w14:textId="77777777" w:rsidR="00485F49" w:rsidRPr="00241BE3" w:rsidRDefault="00485F49" w:rsidP="005941DF">
            <w:pPr>
              <w:rPr>
                <w:rFonts w:ascii="Century Gothic" w:eastAsia="Times New Roman" w:hAnsi="Century Gothic"/>
                <w:sz w:val="20"/>
                <w:szCs w:val="20"/>
                <w:lang w:val="en-US"/>
              </w:rPr>
            </w:pPr>
          </w:p>
        </w:tc>
        <w:tc>
          <w:tcPr>
            <w:tcW w:w="1641" w:type="pct"/>
            <w:vMerge/>
            <w:tcBorders>
              <w:top w:val="single" w:sz="4" w:space="0" w:color="auto"/>
              <w:left w:val="single" w:sz="4" w:space="0" w:color="auto"/>
              <w:bottom w:val="single" w:sz="4" w:space="0" w:color="auto"/>
              <w:right w:val="single" w:sz="4" w:space="0" w:color="auto"/>
            </w:tcBorders>
            <w:vAlign w:val="center"/>
            <w:hideMark/>
          </w:tcPr>
          <w:p w14:paraId="35036944" w14:textId="77777777" w:rsidR="00485F49" w:rsidRPr="00241BE3" w:rsidRDefault="00485F49" w:rsidP="005941DF">
            <w:pPr>
              <w:rPr>
                <w:rFonts w:ascii="Century Gothic" w:eastAsia="Times New Roman" w:hAnsi="Century Gothic"/>
                <w:sz w:val="20"/>
                <w:szCs w:val="20"/>
                <w:lang w:val="en-US"/>
              </w:rPr>
            </w:pPr>
          </w:p>
        </w:tc>
        <w:tc>
          <w:tcPr>
            <w:tcW w:w="1478" w:type="pct"/>
            <w:vMerge/>
            <w:tcBorders>
              <w:top w:val="nil"/>
              <w:left w:val="single" w:sz="4" w:space="0" w:color="auto"/>
              <w:bottom w:val="single" w:sz="4" w:space="0" w:color="000000"/>
              <w:right w:val="single" w:sz="4" w:space="0" w:color="auto"/>
            </w:tcBorders>
            <w:vAlign w:val="center"/>
            <w:hideMark/>
          </w:tcPr>
          <w:p w14:paraId="5EEA14CB" w14:textId="77777777" w:rsidR="00485F49" w:rsidRPr="00241BE3" w:rsidRDefault="00485F49" w:rsidP="005941DF">
            <w:pPr>
              <w:rPr>
                <w:rFonts w:ascii="Century Gothic" w:eastAsia="Times New Roman" w:hAnsi="Century Gothic"/>
                <w:sz w:val="20"/>
                <w:szCs w:val="20"/>
                <w:lang w:val="en-US"/>
              </w:rPr>
            </w:pPr>
          </w:p>
        </w:tc>
      </w:tr>
      <w:tr w:rsidR="00485F49" w:rsidRPr="00810F4F" w14:paraId="1A367D05" w14:textId="77777777" w:rsidTr="003B461C">
        <w:trPr>
          <w:trHeight w:val="2000"/>
        </w:trPr>
        <w:tc>
          <w:tcPr>
            <w:tcW w:w="732" w:type="pct"/>
            <w:vMerge/>
            <w:tcBorders>
              <w:top w:val="nil"/>
              <w:left w:val="single" w:sz="4" w:space="0" w:color="auto"/>
              <w:bottom w:val="single" w:sz="4" w:space="0" w:color="auto"/>
              <w:right w:val="single" w:sz="4" w:space="0" w:color="auto"/>
            </w:tcBorders>
            <w:vAlign w:val="center"/>
            <w:hideMark/>
          </w:tcPr>
          <w:p w14:paraId="4009E8ED" w14:textId="77777777" w:rsidR="00485F49" w:rsidRPr="00241BE3" w:rsidRDefault="00485F49" w:rsidP="005941DF">
            <w:pPr>
              <w:rPr>
                <w:rFonts w:ascii="Century Gothic" w:eastAsia="Times New Roman" w:hAnsi="Century Gothic"/>
                <w:sz w:val="20"/>
                <w:szCs w:val="20"/>
                <w:lang w:val="en-US"/>
              </w:rPr>
            </w:pPr>
          </w:p>
        </w:tc>
        <w:tc>
          <w:tcPr>
            <w:tcW w:w="1149" w:type="pct"/>
            <w:vMerge/>
            <w:tcBorders>
              <w:top w:val="single" w:sz="4" w:space="0" w:color="auto"/>
              <w:left w:val="single" w:sz="4" w:space="0" w:color="auto"/>
              <w:bottom w:val="single" w:sz="4" w:space="0" w:color="000000"/>
              <w:right w:val="single" w:sz="4" w:space="0" w:color="000000"/>
            </w:tcBorders>
            <w:vAlign w:val="center"/>
            <w:hideMark/>
          </w:tcPr>
          <w:p w14:paraId="5739B572" w14:textId="77777777" w:rsidR="00485F49" w:rsidRPr="00241BE3" w:rsidRDefault="00485F49" w:rsidP="005941DF">
            <w:pPr>
              <w:rPr>
                <w:rFonts w:ascii="Century Gothic" w:eastAsia="Times New Roman" w:hAnsi="Century Gothic"/>
                <w:sz w:val="20"/>
                <w:szCs w:val="20"/>
                <w:lang w:val="en-US"/>
              </w:rPr>
            </w:pPr>
          </w:p>
        </w:tc>
        <w:tc>
          <w:tcPr>
            <w:tcW w:w="1641" w:type="pct"/>
            <w:vMerge/>
            <w:tcBorders>
              <w:top w:val="single" w:sz="4" w:space="0" w:color="auto"/>
              <w:left w:val="single" w:sz="4" w:space="0" w:color="auto"/>
              <w:bottom w:val="single" w:sz="4" w:space="0" w:color="auto"/>
              <w:right w:val="single" w:sz="4" w:space="0" w:color="auto"/>
            </w:tcBorders>
            <w:vAlign w:val="center"/>
            <w:hideMark/>
          </w:tcPr>
          <w:p w14:paraId="5BF2BF16" w14:textId="77777777" w:rsidR="00485F49" w:rsidRPr="00241BE3" w:rsidRDefault="00485F49" w:rsidP="005941DF">
            <w:pPr>
              <w:rPr>
                <w:rFonts w:ascii="Century Gothic" w:eastAsia="Times New Roman" w:hAnsi="Century Gothic"/>
                <w:sz w:val="20"/>
                <w:szCs w:val="20"/>
                <w:lang w:val="en-US"/>
              </w:rPr>
            </w:pPr>
          </w:p>
        </w:tc>
        <w:tc>
          <w:tcPr>
            <w:tcW w:w="1478" w:type="pct"/>
            <w:vMerge/>
            <w:tcBorders>
              <w:top w:val="nil"/>
              <w:left w:val="single" w:sz="4" w:space="0" w:color="auto"/>
              <w:bottom w:val="single" w:sz="4" w:space="0" w:color="000000"/>
              <w:right w:val="single" w:sz="4" w:space="0" w:color="auto"/>
            </w:tcBorders>
            <w:vAlign w:val="center"/>
            <w:hideMark/>
          </w:tcPr>
          <w:p w14:paraId="0A99A5AF" w14:textId="77777777" w:rsidR="00485F49" w:rsidRPr="00241BE3" w:rsidRDefault="00485F49" w:rsidP="005941DF">
            <w:pPr>
              <w:rPr>
                <w:rFonts w:ascii="Century Gothic" w:eastAsia="Times New Roman" w:hAnsi="Century Gothic"/>
                <w:sz w:val="20"/>
                <w:szCs w:val="20"/>
                <w:lang w:val="en-US"/>
              </w:rPr>
            </w:pPr>
          </w:p>
        </w:tc>
      </w:tr>
      <w:tr w:rsidR="00485F49" w:rsidRPr="00810F4F" w14:paraId="28429AD8" w14:textId="77777777" w:rsidTr="003B461C">
        <w:trPr>
          <w:trHeight w:val="451"/>
        </w:trPr>
        <w:tc>
          <w:tcPr>
            <w:tcW w:w="732" w:type="pct"/>
            <w:vMerge w:val="restart"/>
            <w:tcBorders>
              <w:top w:val="nil"/>
              <w:left w:val="single" w:sz="4" w:space="0" w:color="auto"/>
              <w:bottom w:val="single" w:sz="4" w:space="0" w:color="auto"/>
              <w:right w:val="single" w:sz="4" w:space="0" w:color="auto"/>
            </w:tcBorders>
            <w:shd w:val="clear" w:color="000000" w:fill="FF99CC"/>
            <w:vAlign w:val="center"/>
            <w:hideMark/>
          </w:tcPr>
          <w:p w14:paraId="3766EDD4" w14:textId="77777777" w:rsidR="00485F49" w:rsidRPr="00241BE3" w:rsidRDefault="00485F49" w:rsidP="005941DF">
            <w:pPr>
              <w:jc w:val="center"/>
              <w:rPr>
                <w:rFonts w:ascii="Century Gothic" w:eastAsia="Times New Roman" w:hAnsi="Century Gothic"/>
                <w:sz w:val="20"/>
                <w:szCs w:val="20"/>
                <w:lang w:val="en-US"/>
              </w:rPr>
            </w:pPr>
            <w:r w:rsidRPr="00241BE3">
              <w:rPr>
                <w:rFonts w:ascii="Century Gothic" w:eastAsia="Times New Roman" w:hAnsi="Century Gothic"/>
                <w:sz w:val="20"/>
                <w:szCs w:val="20"/>
                <w:lang w:val="en-US"/>
              </w:rPr>
              <w:t>Gamblers</w:t>
            </w:r>
          </w:p>
        </w:tc>
        <w:tc>
          <w:tcPr>
            <w:tcW w:w="1149" w:type="pct"/>
            <w:vMerge w:val="restart"/>
            <w:tcBorders>
              <w:top w:val="single" w:sz="4" w:space="0" w:color="auto"/>
              <w:left w:val="single" w:sz="4" w:space="0" w:color="auto"/>
              <w:bottom w:val="single" w:sz="4" w:space="0" w:color="000000"/>
              <w:right w:val="single" w:sz="4" w:space="0" w:color="000000"/>
            </w:tcBorders>
            <w:shd w:val="clear" w:color="000000" w:fill="FF99CC"/>
            <w:vAlign w:val="center"/>
            <w:hideMark/>
          </w:tcPr>
          <w:p w14:paraId="02BE9CA9" w14:textId="77777777" w:rsidR="00485F49" w:rsidRPr="00241BE3" w:rsidRDefault="00485F49" w:rsidP="005941DF">
            <w:pPr>
              <w:rPr>
                <w:rFonts w:ascii="Century Gothic" w:eastAsia="Times New Roman" w:hAnsi="Century Gothic"/>
                <w:sz w:val="20"/>
                <w:szCs w:val="20"/>
                <w:lang w:val="en-US"/>
              </w:rPr>
            </w:pPr>
            <w:r w:rsidRPr="00241BE3">
              <w:rPr>
                <w:rFonts w:ascii="Century Gothic" w:eastAsia="Times New Roman" w:hAnsi="Century Gothic"/>
                <w:sz w:val="20"/>
                <w:szCs w:val="20"/>
                <w:lang w:val="en-US"/>
              </w:rPr>
              <w:t>Expectation would be for very large growth but with equally large losses also possible.</w:t>
            </w:r>
          </w:p>
        </w:tc>
        <w:tc>
          <w:tcPr>
            <w:tcW w:w="1641" w:type="pct"/>
            <w:vMerge w:val="restart"/>
            <w:tcBorders>
              <w:top w:val="single" w:sz="4" w:space="0" w:color="auto"/>
              <w:left w:val="single" w:sz="4" w:space="0" w:color="auto"/>
              <w:bottom w:val="single" w:sz="4" w:space="0" w:color="auto"/>
              <w:right w:val="single" w:sz="4" w:space="0" w:color="auto"/>
            </w:tcBorders>
            <w:shd w:val="clear" w:color="000000" w:fill="FF99CC"/>
            <w:vAlign w:val="center"/>
            <w:hideMark/>
          </w:tcPr>
          <w:p w14:paraId="658CAD2C" w14:textId="2D03DEA8" w:rsidR="00485F49" w:rsidRPr="00241BE3" w:rsidRDefault="00485F49" w:rsidP="005941DF">
            <w:pPr>
              <w:rPr>
                <w:rFonts w:ascii="Century Gothic" w:eastAsia="Times New Roman" w:hAnsi="Century Gothic"/>
                <w:sz w:val="20"/>
                <w:szCs w:val="20"/>
                <w:lang w:val="en-US"/>
              </w:rPr>
            </w:pPr>
            <w:r w:rsidRPr="00241BE3">
              <w:rPr>
                <w:rFonts w:ascii="Century Gothic" w:eastAsia="Times New Roman" w:hAnsi="Century Gothic"/>
                <w:sz w:val="20"/>
                <w:szCs w:val="20"/>
                <w:lang w:val="en-US"/>
              </w:rPr>
              <w:t xml:space="preserve">Investments will often not be immediately </w:t>
            </w:r>
            <w:r w:rsidR="00CE043A" w:rsidRPr="00241BE3">
              <w:rPr>
                <w:rFonts w:ascii="Century Gothic" w:eastAsia="Times New Roman" w:hAnsi="Century Gothic"/>
                <w:sz w:val="20"/>
                <w:szCs w:val="20"/>
                <w:lang w:val="en-US"/>
              </w:rPr>
              <w:t>acces</w:t>
            </w:r>
            <w:r w:rsidR="00CE043A">
              <w:rPr>
                <w:rFonts w:ascii="Century Gothic" w:eastAsia="Times New Roman" w:hAnsi="Century Gothic"/>
                <w:sz w:val="20"/>
                <w:szCs w:val="20"/>
                <w:lang w:val="en-US"/>
              </w:rPr>
              <w:t>si</w:t>
            </w:r>
            <w:r w:rsidR="00CE043A" w:rsidRPr="00241BE3">
              <w:rPr>
                <w:rFonts w:ascii="Century Gothic" w:eastAsia="Times New Roman" w:hAnsi="Century Gothic"/>
                <w:sz w:val="20"/>
                <w:szCs w:val="20"/>
                <w:lang w:val="en-US"/>
              </w:rPr>
              <w:t>ble</w:t>
            </w:r>
            <w:r w:rsidRPr="00241BE3">
              <w:rPr>
                <w:rFonts w:ascii="Century Gothic" w:eastAsia="Times New Roman" w:hAnsi="Century Gothic"/>
                <w:sz w:val="20"/>
                <w:szCs w:val="20"/>
                <w:lang w:val="en-US"/>
              </w:rPr>
              <w:t xml:space="preserve">. Gain can be very large in relatively short time spans. Total loss of capital is a </w:t>
            </w:r>
            <w:r w:rsidR="00CE043A">
              <w:rPr>
                <w:rFonts w:ascii="Century Gothic" w:eastAsia="Times New Roman" w:hAnsi="Century Gothic"/>
                <w:sz w:val="20"/>
                <w:szCs w:val="20"/>
                <w:lang w:val="en-US"/>
              </w:rPr>
              <w:t>realistic</w:t>
            </w:r>
            <w:r w:rsidR="00CE043A" w:rsidRPr="00241BE3">
              <w:rPr>
                <w:rFonts w:ascii="Century Gothic" w:eastAsia="Times New Roman" w:hAnsi="Century Gothic"/>
                <w:sz w:val="20"/>
                <w:szCs w:val="20"/>
                <w:lang w:val="en-US"/>
              </w:rPr>
              <w:t xml:space="preserve"> </w:t>
            </w:r>
            <w:r w:rsidRPr="00241BE3">
              <w:rPr>
                <w:rFonts w:ascii="Century Gothic" w:eastAsia="Times New Roman" w:hAnsi="Century Gothic"/>
                <w:sz w:val="20"/>
                <w:szCs w:val="20"/>
                <w:lang w:val="en-US"/>
              </w:rPr>
              <w:t>outcome too.</w:t>
            </w:r>
          </w:p>
        </w:tc>
        <w:tc>
          <w:tcPr>
            <w:tcW w:w="1478" w:type="pct"/>
            <w:vMerge w:val="restart"/>
            <w:tcBorders>
              <w:top w:val="nil"/>
              <w:left w:val="single" w:sz="4" w:space="0" w:color="auto"/>
              <w:bottom w:val="single" w:sz="4" w:space="0" w:color="000000"/>
              <w:right w:val="single" w:sz="4" w:space="0" w:color="auto"/>
            </w:tcBorders>
            <w:shd w:val="clear" w:color="000000" w:fill="FF99CC"/>
            <w:vAlign w:val="center"/>
            <w:hideMark/>
          </w:tcPr>
          <w:p w14:paraId="60DC7083" w14:textId="77777777" w:rsidR="00485F49" w:rsidRPr="00241BE3" w:rsidRDefault="00485F49" w:rsidP="005941DF">
            <w:pPr>
              <w:rPr>
                <w:rFonts w:ascii="Century Gothic" w:eastAsia="Times New Roman" w:hAnsi="Century Gothic"/>
                <w:sz w:val="20"/>
                <w:szCs w:val="20"/>
                <w:lang w:val="en-US"/>
              </w:rPr>
            </w:pPr>
            <w:r w:rsidRPr="00241BE3">
              <w:rPr>
                <w:rFonts w:ascii="Century Gothic" w:eastAsia="Times New Roman" w:hAnsi="Century Gothic"/>
                <w:sz w:val="20"/>
                <w:szCs w:val="20"/>
                <w:lang w:val="en-US"/>
              </w:rPr>
              <w:t xml:space="preserve">People with excess capital which if lost would not impact on standard of living, and who enjoy the emotional effect of gambling. </w:t>
            </w:r>
          </w:p>
        </w:tc>
      </w:tr>
      <w:tr w:rsidR="00485F49" w:rsidRPr="00810F4F" w14:paraId="2A699EB2" w14:textId="77777777" w:rsidTr="003B461C">
        <w:trPr>
          <w:trHeight w:val="451"/>
        </w:trPr>
        <w:tc>
          <w:tcPr>
            <w:tcW w:w="732" w:type="pct"/>
            <w:vMerge/>
            <w:tcBorders>
              <w:top w:val="nil"/>
              <w:left w:val="single" w:sz="4" w:space="0" w:color="auto"/>
              <w:bottom w:val="single" w:sz="4" w:space="0" w:color="auto"/>
              <w:right w:val="single" w:sz="4" w:space="0" w:color="auto"/>
            </w:tcBorders>
            <w:vAlign w:val="center"/>
            <w:hideMark/>
          </w:tcPr>
          <w:p w14:paraId="1E3B1C26" w14:textId="77777777" w:rsidR="00485F49" w:rsidRPr="00241BE3" w:rsidRDefault="00485F49" w:rsidP="005941DF">
            <w:pPr>
              <w:rPr>
                <w:rFonts w:ascii="Century Gothic" w:eastAsia="Times New Roman" w:hAnsi="Century Gothic"/>
                <w:sz w:val="20"/>
                <w:szCs w:val="20"/>
                <w:lang w:val="en-US"/>
              </w:rPr>
            </w:pPr>
          </w:p>
        </w:tc>
        <w:tc>
          <w:tcPr>
            <w:tcW w:w="1149" w:type="pct"/>
            <w:vMerge/>
            <w:tcBorders>
              <w:top w:val="single" w:sz="4" w:space="0" w:color="auto"/>
              <w:left w:val="single" w:sz="4" w:space="0" w:color="auto"/>
              <w:bottom w:val="single" w:sz="4" w:space="0" w:color="000000"/>
              <w:right w:val="single" w:sz="4" w:space="0" w:color="000000"/>
            </w:tcBorders>
            <w:vAlign w:val="center"/>
            <w:hideMark/>
          </w:tcPr>
          <w:p w14:paraId="5CB3A2D0" w14:textId="77777777" w:rsidR="00485F49" w:rsidRPr="00241BE3" w:rsidRDefault="00485F49" w:rsidP="005941DF">
            <w:pPr>
              <w:rPr>
                <w:rFonts w:ascii="Century Gothic" w:eastAsia="Times New Roman" w:hAnsi="Century Gothic"/>
                <w:sz w:val="20"/>
                <w:szCs w:val="20"/>
                <w:lang w:val="en-US"/>
              </w:rPr>
            </w:pPr>
          </w:p>
        </w:tc>
        <w:tc>
          <w:tcPr>
            <w:tcW w:w="1641" w:type="pct"/>
            <w:vMerge/>
            <w:tcBorders>
              <w:top w:val="single" w:sz="4" w:space="0" w:color="auto"/>
              <w:left w:val="single" w:sz="4" w:space="0" w:color="auto"/>
              <w:bottom w:val="single" w:sz="4" w:space="0" w:color="auto"/>
              <w:right w:val="single" w:sz="4" w:space="0" w:color="auto"/>
            </w:tcBorders>
            <w:vAlign w:val="center"/>
            <w:hideMark/>
          </w:tcPr>
          <w:p w14:paraId="7279EA90" w14:textId="77777777" w:rsidR="00485F49" w:rsidRPr="00241BE3" w:rsidRDefault="00485F49" w:rsidP="005941DF">
            <w:pPr>
              <w:rPr>
                <w:rFonts w:ascii="Century Gothic" w:eastAsia="Times New Roman" w:hAnsi="Century Gothic"/>
                <w:sz w:val="20"/>
                <w:szCs w:val="20"/>
                <w:lang w:val="en-US"/>
              </w:rPr>
            </w:pPr>
          </w:p>
        </w:tc>
        <w:tc>
          <w:tcPr>
            <w:tcW w:w="1478" w:type="pct"/>
            <w:vMerge/>
            <w:tcBorders>
              <w:top w:val="nil"/>
              <w:left w:val="single" w:sz="4" w:space="0" w:color="auto"/>
              <w:bottom w:val="single" w:sz="4" w:space="0" w:color="000000"/>
              <w:right w:val="single" w:sz="4" w:space="0" w:color="auto"/>
            </w:tcBorders>
            <w:vAlign w:val="center"/>
            <w:hideMark/>
          </w:tcPr>
          <w:p w14:paraId="4A2890D2" w14:textId="77777777" w:rsidR="00485F49" w:rsidRPr="00241BE3" w:rsidRDefault="00485F49" w:rsidP="005941DF">
            <w:pPr>
              <w:rPr>
                <w:rFonts w:ascii="Century Gothic" w:eastAsia="Times New Roman" w:hAnsi="Century Gothic"/>
                <w:sz w:val="20"/>
                <w:szCs w:val="20"/>
                <w:lang w:val="en-US"/>
              </w:rPr>
            </w:pPr>
          </w:p>
        </w:tc>
      </w:tr>
      <w:tr w:rsidR="00485F49" w:rsidRPr="00810F4F" w14:paraId="1E36AB9F" w14:textId="77777777" w:rsidTr="003B461C">
        <w:trPr>
          <w:trHeight w:val="451"/>
        </w:trPr>
        <w:tc>
          <w:tcPr>
            <w:tcW w:w="732" w:type="pct"/>
            <w:vMerge/>
            <w:tcBorders>
              <w:top w:val="nil"/>
              <w:left w:val="single" w:sz="4" w:space="0" w:color="auto"/>
              <w:bottom w:val="single" w:sz="4" w:space="0" w:color="auto"/>
              <w:right w:val="single" w:sz="4" w:space="0" w:color="auto"/>
            </w:tcBorders>
            <w:vAlign w:val="center"/>
            <w:hideMark/>
          </w:tcPr>
          <w:p w14:paraId="30F9E6A9" w14:textId="77777777" w:rsidR="00485F49" w:rsidRPr="00241BE3" w:rsidRDefault="00485F49" w:rsidP="005941DF">
            <w:pPr>
              <w:rPr>
                <w:rFonts w:ascii="Century Gothic" w:eastAsia="Times New Roman" w:hAnsi="Century Gothic"/>
                <w:sz w:val="20"/>
                <w:szCs w:val="20"/>
                <w:lang w:val="en-US"/>
              </w:rPr>
            </w:pPr>
          </w:p>
        </w:tc>
        <w:tc>
          <w:tcPr>
            <w:tcW w:w="1149" w:type="pct"/>
            <w:vMerge/>
            <w:tcBorders>
              <w:top w:val="single" w:sz="4" w:space="0" w:color="auto"/>
              <w:left w:val="single" w:sz="4" w:space="0" w:color="auto"/>
              <w:bottom w:val="single" w:sz="4" w:space="0" w:color="000000"/>
              <w:right w:val="single" w:sz="4" w:space="0" w:color="000000"/>
            </w:tcBorders>
            <w:vAlign w:val="center"/>
            <w:hideMark/>
          </w:tcPr>
          <w:p w14:paraId="7E12AC9E" w14:textId="77777777" w:rsidR="00485F49" w:rsidRPr="00241BE3" w:rsidRDefault="00485F49" w:rsidP="005941DF">
            <w:pPr>
              <w:rPr>
                <w:rFonts w:ascii="Century Gothic" w:eastAsia="Times New Roman" w:hAnsi="Century Gothic"/>
                <w:sz w:val="20"/>
                <w:szCs w:val="20"/>
                <w:lang w:val="en-US"/>
              </w:rPr>
            </w:pPr>
          </w:p>
        </w:tc>
        <w:tc>
          <w:tcPr>
            <w:tcW w:w="1641" w:type="pct"/>
            <w:vMerge/>
            <w:tcBorders>
              <w:top w:val="single" w:sz="4" w:space="0" w:color="auto"/>
              <w:left w:val="single" w:sz="4" w:space="0" w:color="auto"/>
              <w:bottom w:val="single" w:sz="4" w:space="0" w:color="auto"/>
              <w:right w:val="single" w:sz="4" w:space="0" w:color="auto"/>
            </w:tcBorders>
            <w:vAlign w:val="center"/>
            <w:hideMark/>
          </w:tcPr>
          <w:p w14:paraId="2D7537B0" w14:textId="77777777" w:rsidR="00485F49" w:rsidRPr="00241BE3" w:rsidRDefault="00485F49" w:rsidP="005941DF">
            <w:pPr>
              <w:rPr>
                <w:rFonts w:ascii="Century Gothic" w:eastAsia="Times New Roman" w:hAnsi="Century Gothic"/>
                <w:sz w:val="20"/>
                <w:szCs w:val="20"/>
                <w:lang w:val="en-US"/>
              </w:rPr>
            </w:pPr>
          </w:p>
        </w:tc>
        <w:tc>
          <w:tcPr>
            <w:tcW w:w="1478" w:type="pct"/>
            <w:vMerge/>
            <w:tcBorders>
              <w:top w:val="nil"/>
              <w:left w:val="single" w:sz="4" w:space="0" w:color="auto"/>
              <w:bottom w:val="single" w:sz="4" w:space="0" w:color="000000"/>
              <w:right w:val="single" w:sz="4" w:space="0" w:color="auto"/>
            </w:tcBorders>
            <w:vAlign w:val="center"/>
            <w:hideMark/>
          </w:tcPr>
          <w:p w14:paraId="04E63262" w14:textId="77777777" w:rsidR="00485F49" w:rsidRPr="00241BE3" w:rsidRDefault="00485F49" w:rsidP="005941DF">
            <w:pPr>
              <w:rPr>
                <w:rFonts w:ascii="Century Gothic" w:eastAsia="Times New Roman" w:hAnsi="Century Gothic"/>
                <w:sz w:val="20"/>
                <w:szCs w:val="20"/>
                <w:lang w:val="en-US"/>
              </w:rPr>
            </w:pPr>
          </w:p>
        </w:tc>
      </w:tr>
      <w:tr w:rsidR="00485F49" w:rsidRPr="00810F4F" w14:paraId="25EC240C" w14:textId="77777777" w:rsidTr="003B461C">
        <w:trPr>
          <w:trHeight w:val="451"/>
        </w:trPr>
        <w:tc>
          <w:tcPr>
            <w:tcW w:w="732" w:type="pct"/>
            <w:vMerge/>
            <w:tcBorders>
              <w:top w:val="nil"/>
              <w:left w:val="single" w:sz="4" w:space="0" w:color="auto"/>
              <w:bottom w:val="single" w:sz="4" w:space="0" w:color="auto"/>
              <w:right w:val="single" w:sz="4" w:space="0" w:color="auto"/>
            </w:tcBorders>
            <w:vAlign w:val="center"/>
            <w:hideMark/>
          </w:tcPr>
          <w:p w14:paraId="3262B500" w14:textId="77777777" w:rsidR="00485F49" w:rsidRPr="00241BE3" w:rsidRDefault="00485F49" w:rsidP="005941DF">
            <w:pPr>
              <w:rPr>
                <w:rFonts w:ascii="Century Gothic" w:eastAsia="Times New Roman" w:hAnsi="Century Gothic"/>
                <w:sz w:val="20"/>
                <w:szCs w:val="20"/>
                <w:lang w:val="en-US"/>
              </w:rPr>
            </w:pPr>
          </w:p>
        </w:tc>
        <w:tc>
          <w:tcPr>
            <w:tcW w:w="1149" w:type="pct"/>
            <w:vMerge/>
            <w:tcBorders>
              <w:top w:val="single" w:sz="4" w:space="0" w:color="auto"/>
              <w:left w:val="single" w:sz="4" w:space="0" w:color="auto"/>
              <w:bottom w:val="single" w:sz="4" w:space="0" w:color="000000"/>
              <w:right w:val="single" w:sz="4" w:space="0" w:color="000000"/>
            </w:tcBorders>
            <w:vAlign w:val="center"/>
            <w:hideMark/>
          </w:tcPr>
          <w:p w14:paraId="0FC68A5C" w14:textId="77777777" w:rsidR="00485F49" w:rsidRPr="00241BE3" w:rsidRDefault="00485F49" w:rsidP="005941DF">
            <w:pPr>
              <w:rPr>
                <w:rFonts w:ascii="Century Gothic" w:eastAsia="Times New Roman" w:hAnsi="Century Gothic"/>
                <w:sz w:val="20"/>
                <w:szCs w:val="20"/>
                <w:lang w:val="en-US"/>
              </w:rPr>
            </w:pPr>
          </w:p>
        </w:tc>
        <w:tc>
          <w:tcPr>
            <w:tcW w:w="1641" w:type="pct"/>
            <w:vMerge/>
            <w:tcBorders>
              <w:top w:val="single" w:sz="4" w:space="0" w:color="auto"/>
              <w:left w:val="single" w:sz="4" w:space="0" w:color="auto"/>
              <w:bottom w:val="single" w:sz="4" w:space="0" w:color="auto"/>
              <w:right w:val="single" w:sz="4" w:space="0" w:color="auto"/>
            </w:tcBorders>
            <w:vAlign w:val="center"/>
            <w:hideMark/>
          </w:tcPr>
          <w:p w14:paraId="4EB6983A" w14:textId="77777777" w:rsidR="00485F49" w:rsidRPr="00241BE3" w:rsidRDefault="00485F49" w:rsidP="005941DF">
            <w:pPr>
              <w:rPr>
                <w:rFonts w:ascii="Century Gothic" w:eastAsia="Times New Roman" w:hAnsi="Century Gothic"/>
                <w:sz w:val="20"/>
                <w:szCs w:val="20"/>
                <w:lang w:val="en-US"/>
              </w:rPr>
            </w:pPr>
          </w:p>
        </w:tc>
        <w:tc>
          <w:tcPr>
            <w:tcW w:w="1478" w:type="pct"/>
            <w:vMerge/>
            <w:tcBorders>
              <w:top w:val="nil"/>
              <w:left w:val="single" w:sz="4" w:space="0" w:color="auto"/>
              <w:bottom w:val="single" w:sz="4" w:space="0" w:color="000000"/>
              <w:right w:val="single" w:sz="4" w:space="0" w:color="auto"/>
            </w:tcBorders>
            <w:vAlign w:val="center"/>
            <w:hideMark/>
          </w:tcPr>
          <w:p w14:paraId="4DFADABC" w14:textId="77777777" w:rsidR="00485F49" w:rsidRPr="00241BE3" w:rsidRDefault="00485F49" w:rsidP="005941DF">
            <w:pPr>
              <w:rPr>
                <w:rFonts w:ascii="Century Gothic" w:eastAsia="Times New Roman" w:hAnsi="Century Gothic"/>
                <w:sz w:val="20"/>
                <w:szCs w:val="20"/>
                <w:lang w:val="en-US"/>
              </w:rPr>
            </w:pPr>
          </w:p>
        </w:tc>
      </w:tr>
      <w:tr w:rsidR="00485F49" w:rsidRPr="00810F4F" w14:paraId="4DE6B4DF" w14:textId="77777777" w:rsidTr="003B461C">
        <w:trPr>
          <w:trHeight w:val="451"/>
        </w:trPr>
        <w:tc>
          <w:tcPr>
            <w:tcW w:w="732" w:type="pct"/>
            <w:vMerge/>
            <w:tcBorders>
              <w:top w:val="nil"/>
              <w:left w:val="single" w:sz="4" w:space="0" w:color="auto"/>
              <w:bottom w:val="single" w:sz="4" w:space="0" w:color="auto"/>
              <w:right w:val="single" w:sz="4" w:space="0" w:color="auto"/>
            </w:tcBorders>
            <w:vAlign w:val="center"/>
            <w:hideMark/>
          </w:tcPr>
          <w:p w14:paraId="6F2FB2A1" w14:textId="77777777" w:rsidR="00485F49" w:rsidRPr="00241BE3" w:rsidRDefault="00485F49" w:rsidP="005941DF">
            <w:pPr>
              <w:rPr>
                <w:rFonts w:ascii="Century Gothic" w:eastAsia="Times New Roman" w:hAnsi="Century Gothic"/>
                <w:sz w:val="20"/>
                <w:szCs w:val="20"/>
                <w:lang w:val="en-US"/>
              </w:rPr>
            </w:pPr>
          </w:p>
        </w:tc>
        <w:tc>
          <w:tcPr>
            <w:tcW w:w="1149" w:type="pct"/>
            <w:vMerge/>
            <w:tcBorders>
              <w:top w:val="single" w:sz="4" w:space="0" w:color="auto"/>
              <w:left w:val="single" w:sz="4" w:space="0" w:color="auto"/>
              <w:bottom w:val="single" w:sz="4" w:space="0" w:color="000000"/>
              <w:right w:val="single" w:sz="4" w:space="0" w:color="000000"/>
            </w:tcBorders>
            <w:vAlign w:val="center"/>
            <w:hideMark/>
          </w:tcPr>
          <w:p w14:paraId="13E4B544" w14:textId="77777777" w:rsidR="00485F49" w:rsidRPr="00241BE3" w:rsidRDefault="00485F49" w:rsidP="005941DF">
            <w:pPr>
              <w:rPr>
                <w:rFonts w:ascii="Century Gothic" w:eastAsia="Times New Roman" w:hAnsi="Century Gothic"/>
                <w:sz w:val="20"/>
                <w:szCs w:val="20"/>
                <w:lang w:val="en-US"/>
              </w:rPr>
            </w:pPr>
          </w:p>
        </w:tc>
        <w:tc>
          <w:tcPr>
            <w:tcW w:w="1641" w:type="pct"/>
            <w:vMerge/>
            <w:tcBorders>
              <w:top w:val="single" w:sz="4" w:space="0" w:color="auto"/>
              <w:left w:val="single" w:sz="4" w:space="0" w:color="auto"/>
              <w:bottom w:val="single" w:sz="4" w:space="0" w:color="auto"/>
              <w:right w:val="single" w:sz="4" w:space="0" w:color="auto"/>
            </w:tcBorders>
            <w:vAlign w:val="center"/>
            <w:hideMark/>
          </w:tcPr>
          <w:p w14:paraId="480A9F09" w14:textId="77777777" w:rsidR="00485F49" w:rsidRPr="00241BE3" w:rsidRDefault="00485F49" w:rsidP="005941DF">
            <w:pPr>
              <w:rPr>
                <w:rFonts w:ascii="Century Gothic" w:eastAsia="Times New Roman" w:hAnsi="Century Gothic"/>
                <w:sz w:val="20"/>
                <w:szCs w:val="20"/>
                <w:lang w:val="en-US"/>
              </w:rPr>
            </w:pPr>
          </w:p>
        </w:tc>
        <w:tc>
          <w:tcPr>
            <w:tcW w:w="1478" w:type="pct"/>
            <w:vMerge/>
            <w:tcBorders>
              <w:top w:val="nil"/>
              <w:left w:val="single" w:sz="4" w:space="0" w:color="auto"/>
              <w:bottom w:val="single" w:sz="4" w:space="0" w:color="000000"/>
              <w:right w:val="single" w:sz="4" w:space="0" w:color="auto"/>
            </w:tcBorders>
            <w:vAlign w:val="center"/>
            <w:hideMark/>
          </w:tcPr>
          <w:p w14:paraId="5A83F1FC" w14:textId="77777777" w:rsidR="00485F49" w:rsidRPr="00241BE3" w:rsidRDefault="00485F49" w:rsidP="005941DF">
            <w:pPr>
              <w:rPr>
                <w:rFonts w:ascii="Century Gothic" w:eastAsia="Times New Roman" w:hAnsi="Century Gothic"/>
                <w:sz w:val="20"/>
                <w:szCs w:val="20"/>
                <w:lang w:val="en-US"/>
              </w:rPr>
            </w:pPr>
          </w:p>
        </w:tc>
      </w:tr>
    </w:tbl>
    <w:p w14:paraId="3448D3B1" w14:textId="77777777" w:rsidR="00017F83" w:rsidRPr="00810F4F" w:rsidRDefault="00017F83" w:rsidP="00A8085F">
      <w:pPr>
        <w:jc w:val="both"/>
        <w:rPr>
          <w:rFonts w:ascii="Century Gothic" w:hAnsi="Century Gothic" w:cs="Calibri Light"/>
        </w:rPr>
      </w:pPr>
    </w:p>
    <w:p w14:paraId="6A76CD3A" w14:textId="541EF42D" w:rsidR="00485F49" w:rsidRPr="00810F4F" w:rsidRDefault="003B461C" w:rsidP="00A8085F">
      <w:pPr>
        <w:jc w:val="both"/>
        <w:rPr>
          <w:rFonts w:ascii="Century Gothic" w:hAnsi="Century Gothic" w:cs="Calibri Light"/>
          <w:i/>
          <w:u w:val="single"/>
        </w:rPr>
      </w:pPr>
      <w:r w:rsidRPr="00810F4F">
        <w:rPr>
          <w:rFonts w:ascii="Century Gothic" w:hAnsi="Century Gothic" w:cs="Calibri Light"/>
          <w:i/>
          <w:u w:val="single"/>
        </w:rPr>
        <w:t xml:space="preserve">Our </w:t>
      </w:r>
      <w:r w:rsidR="00485F49" w:rsidRPr="00810F4F">
        <w:rPr>
          <w:rFonts w:ascii="Century Gothic" w:hAnsi="Century Gothic" w:cs="Calibri Light"/>
          <w:i/>
          <w:u w:val="single"/>
        </w:rPr>
        <w:t>approach to using assets to support income needs</w:t>
      </w:r>
    </w:p>
    <w:p w14:paraId="6EB23DC4" w14:textId="35BB8E1A" w:rsidR="009D27EB" w:rsidRDefault="00007067" w:rsidP="00A8085F">
      <w:pPr>
        <w:jc w:val="both"/>
        <w:rPr>
          <w:rFonts w:ascii="Century Gothic" w:hAnsi="Century Gothic" w:cs="Calibri Light"/>
        </w:rPr>
      </w:pPr>
      <w:r>
        <w:rPr>
          <w:rFonts w:ascii="Century Gothic" w:hAnsi="Century Gothic" w:cs="Calibri Light"/>
        </w:rPr>
        <w:t xml:space="preserve">We use cash flows to determine the sustainability of our </w:t>
      </w:r>
      <w:proofErr w:type="gramStart"/>
      <w:r>
        <w:rPr>
          <w:rFonts w:ascii="Century Gothic" w:hAnsi="Century Gothic" w:cs="Calibri Light"/>
        </w:rPr>
        <w:t>clients</w:t>
      </w:r>
      <w:proofErr w:type="gramEnd"/>
      <w:r>
        <w:rPr>
          <w:rFonts w:ascii="Century Gothic" w:hAnsi="Century Gothic" w:cs="Calibri Light"/>
        </w:rPr>
        <w:t xml:space="preserve"> income and capital needs. </w:t>
      </w:r>
    </w:p>
    <w:p w14:paraId="276E56DE" w14:textId="63217661" w:rsidR="00007067" w:rsidRDefault="00007067" w:rsidP="00007067">
      <w:pPr>
        <w:jc w:val="both"/>
        <w:rPr>
          <w:rFonts w:ascii="Century Gothic" w:hAnsi="Century Gothic" w:cs="Calibri Light"/>
        </w:rPr>
      </w:pPr>
      <w:r>
        <w:rPr>
          <w:rFonts w:ascii="Century Gothic" w:hAnsi="Century Gothic" w:cs="Calibri Light"/>
        </w:rPr>
        <w:t>Our cash flow analysis is predicated on an investment return metric to satisfy the income / capital need of the client.</w:t>
      </w:r>
    </w:p>
    <w:p w14:paraId="1D4E31EF" w14:textId="2B58B40A" w:rsidR="00007067" w:rsidRDefault="00007067" w:rsidP="00007067">
      <w:pPr>
        <w:jc w:val="both"/>
        <w:rPr>
          <w:rFonts w:ascii="Century Gothic" w:hAnsi="Century Gothic" w:cs="Calibri Light"/>
        </w:rPr>
      </w:pPr>
      <w:r>
        <w:rPr>
          <w:rFonts w:ascii="Century Gothic" w:hAnsi="Century Gothic" w:cs="Calibri Light"/>
        </w:rPr>
        <w:t xml:space="preserve">We subsequently test this metric against a clients’ attitude to risk using </w:t>
      </w:r>
      <w:r w:rsidRPr="00007067">
        <w:rPr>
          <w:rFonts w:ascii="Century Gothic" w:hAnsi="Century Gothic" w:cs="Calibri Light"/>
          <w:highlight w:val="yellow"/>
        </w:rPr>
        <w:t>Oxford Risk</w:t>
      </w:r>
      <w:r>
        <w:rPr>
          <w:rFonts w:ascii="Century Gothic" w:hAnsi="Century Gothic" w:cs="Calibri Light"/>
        </w:rPr>
        <w:t>. Oxford risk will identify the clients’ emotional tolerance to risk and estimate an appropriate asset allocation.</w:t>
      </w:r>
    </w:p>
    <w:p w14:paraId="76E96705" w14:textId="7E9C3A66" w:rsidR="00007067" w:rsidRDefault="00007067" w:rsidP="00007067">
      <w:pPr>
        <w:jc w:val="both"/>
        <w:rPr>
          <w:rFonts w:ascii="Century Gothic" w:hAnsi="Century Gothic" w:cs="Calibri Light"/>
        </w:rPr>
      </w:pPr>
      <w:r>
        <w:rPr>
          <w:rFonts w:ascii="Century Gothic" w:hAnsi="Century Gothic" w:cs="Calibri Light"/>
        </w:rPr>
        <w:lastRenderedPageBreak/>
        <w:t>We then test the Oxford risk asset allocation outcome against our cash flow asset allocation and agree a pathway forward with the client, adjusting needs or asset allocations with the client if necessary.</w:t>
      </w:r>
    </w:p>
    <w:p w14:paraId="7A49C12F" w14:textId="77777777" w:rsidR="009D27EB" w:rsidRPr="00810F4F" w:rsidRDefault="009D27EB" w:rsidP="00A8085F">
      <w:pPr>
        <w:jc w:val="both"/>
        <w:rPr>
          <w:rFonts w:ascii="Century Gothic" w:hAnsi="Century Gothic" w:cs="Calibri Light"/>
        </w:rPr>
      </w:pPr>
    </w:p>
    <w:p w14:paraId="2E3CD89B" w14:textId="594D61B7" w:rsidR="00485F49" w:rsidRPr="00EA0462" w:rsidRDefault="00485F49" w:rsidP="00A8085F">
      <w:pPr>
        <w:jc w:val="both"/>
        <w:rPr>
          <w:rFonts w:ascii="Century Gothic" w:hAnsi="Century Gothic" w:cs="Calibri Light"/>
          <w:b/>
          <w:bCs/>
          <w:i/>
          <w:u w:val="single"/>
        </w:rPr>
      </w:pPr>
      <w:r w:rsidRPr="00EA0462">
        <w:rPr>
          <w:rFonts w:ascii="Century Gothic" w:hAnsi="Century Gothic" w:cs="Calibri Light"/>
          <w:b/>
          <w:bCs/>
          <w:i/>
          <w:u w:val="single"/>
        </w:rPr>
        <w:t>The importance of annual reviews</w:t>
      </w:r>
    </w:p>
    <w:p w14:paraId="60DAE11D" w14:textId="77777777" w:rsidR="00D04178" w:rsidRDefault="00883DC4" w:rsidP="00A8085F">
      <w:pPr>
        <w:jc w:val="both"/>
        <w:rPr>
          <w:rFonts w:ascii="Century Gothic" w:hAnsi="Century Gothic" w:cs="Calibri Light"/>
        </w:rPr>
      </w:pPr>
      <w:r w:rsidRPr="00810F4F">
        <w:rPr>
          <w:rFonts w:ascii="Century Gothic" w:hAnsi="Century Gothic" w:cs="Calibri Light"/>
        </w:rPr>
        <w:t xml:space="preserve">Whatever the objective the most important part of </w:t>
      </w:r>
      <w:r w:rsidR="003B461C" w:rsidRPr="00810F4F">
        <w:rPr>
          <w:rFonts w:ascii="Century Gothic" w:hAnsi="Century Gothic" w:cs="Calibri Light"/>
        </w:rPr>
        <w:t xml:space="preserve">our </w:t>
      </w:r>
      <w:r w:rsidRPr="00810F4F">
        <w:rPr>
          <w:rFonts w:ascii="Century Gothic" w:hAnsi="Century Gothic" w:cs="Calibri Light"/>
        </w:rPr>
        <w:t>CRP is regular reviews so that any financial plan that is put in place can be adjusted if required</w:t>
      </w:r>
      <w:r w:rsidR="003B461C" w:rsidRPr="00810F4F">
        <w:rPr>
          <w:rFonts w:ascii="Century Gothic" w:hAnsi="Century Gothic" w:cs="Calibri Light"/>
        </w:rPr>
        <w:t>;</w:t>
      </w:r>
      <w:r w:rsidRPr="00810F4F">
        <w:rPr>
          <w:rFonts w:ascii="Century Gothic" w:hAnsi="Century Gothic" w:cs="Calibri Light"/>
        </w:rPr>
        <w:t xml:space="preserve"> for </w:t>
      </w:r>
      <w:r w:rsidR="00CE043A" w:rsidRPr="00810F4F">
        <w:rPr>
          <w:rFonts w:ascii="Century Gothic" w:hAnsi="Century Gothic" w:cs="Calibri Light"/>
        </w:rPr>
        <w:t>instance,</w:t>
      </w:r>
      <w:r w:rsidRPr="00810F4F">
        <w:rPr>
          <w:rFonts w:ascii="Century Gothic" w:hAnsi="Century Gothic" w:cs="Calibri Light"/>
        </w:rPr>
        <w:t xml:space="preserve"> a year of poor performance may require a temporary reduction or suspension of withdrawals.</w:t>
      </w:r>
      <w:r w:rsidR="00D04178">
        <w:rPr>
          <w:rFonts w:ascii="Century Gothic" w:hAnsi="Century Gothic" w:cs="Calibri Light"/>
        </w:rPr>
        <w:t xml:space="preserve"> </w:t>
      </w:r>
    </w:p>
    <w:p w14:paraId="6983D678" w14:textId="2A2CDBF9" w:rsidR="00883DC4" w:rsidRPr="00810F4F" w:rsidRDefault="00D04178" w:rsidP="00D04178">
      <w:pPr>
        <w:pBdr>
          <w:top w:val="single" w:sz="4" w:space="1" w:color="auto"/>
          <w:left w:val="single" w:sz="4" w:space="4" w:color="auto"/>
          <w:bottom w:val="single" w:sz="4" w:space="1" w:color="auto"/>
          <w:right w:val="single" w:sz="4" w:space="4" w:color="auto"/>
        </w:pBdr>
        <w:jc w:val="both"/>
        <w:rPr>
          <w:rFonts w:ascii="Century Gothic" w:hAnsi="Century Gothic" w:cs="Calibri Light"/>
        </w:rPr>
      </w:pPr>
      <w:r>
        <w:rPr>
          <w:rFonts w:ascii="Century Gothic" w:hAnsi="Century Gothic" w:cs="Calibri Light"/>
        </w:rPr>
        <w:t>Annual reviews are critical as they impose overall security and control over the viability of our CIP / PRP on an annual basis, at client specific level by assessing suitability of product and of funds.</w:t>
      </w:r>
    </w:p>
    <w:p w14:paraId="0FF2B8AC" w14:textId="77777777" w:rsidR="00485F49" w:rsidRPr="00810F4F" w:rsidRDefault="00485F49" w:rsidP="00A8085F">
      <w:pPr>
        <w:jc w:val="both"/>
        <w:rPr>
          <w:rFonts w:ascii="Century Gothic" w:hAnsi="Century Gothic" w:cs="Calibri Light"/>
        </w:rPr>
      </w:pPr>
    </w:p>
    <w:p w14:paraId="2E60D278" w14:textId="175B7A88" w:rsidR="00485F49" w:rsidRPr="00EA0462" w:rsidRDefault="00485F49" w:rsidP="00A8085F">
      <w:pPr>
        <w:jc w:val="both"/>
        <w:rPr>
          <w:rFonts w:ascii="Century Gothic" w:hAnsi="Century Gothic" w:cs="Calibri Light"/>
          <w:b/>
          <w:bCs/>
          <w:i/>
          <w:u w:val="single"/>
        </w:rPr>
      </w:pPr>
      <w:r w:rsidRPr="00EA0462">
        <w:rPr>
          <w:rFonts w:ascii="Century Gothic" w:hAnsi="Century Gothic" w:cs="Calibri Light"/>
          <w:b/>
          <w:bCs/>
          <w:i/>
          <w:u w:val="single"/>
        </w:rPr>
        <w:t>The use of cashflows at entry into distribution and beyond</w:t>
      </w:r>
    </w:p>
    <w:p w14:paraId="5633C019" w14:textId="7F0BC372" w:rsidR="00485F49" w:rsidRPr="00810F4F" w:rsidRDefault="00485F49" w:rsidP="00A8085F">
      <w:pPr>
        <w:jc w:val="both"/>
        <w:rPr>
          <w:rFonts w:ascii="Century Gothic" w:hAnsi="Century Gothic" w:cs="Calibri Light"/>
        </w:rPr>
      </w:pPr>
      <w:r w:rsidRPr="00810F4F">
        <w:rPr>
          <w:rFonts w:ascii="Century Gothic" w:hAnsi="Century Gothic" w:cs="Calibri Light"/>
        </w:rPr>
        <w:t>We believe cash flows are essential to managing income expectations in retirement.</w:t>
      </w:r>
      <w:r w:rsidR="009E361C" w:rsidRPr="00810F4F">
        <w:rPr>
          <w:rFonts w:ascii="Century Gothic" w:hAnsi="Century Gothic" w:cs="Calibri Light"/>
        </w:rPr>
        <w:t xml:space="preserve"> The key purpose of cashflows is to ensure clients do not run out of money. From a risk perspective this translates into </w:t>
      </w:r>
      <w:r w:rsidR="003B461C" w:rsidRPr="00810F4F">
        <w:rPr>
          <w:rFonts w:ascii="Century Gothic" w:hAnsi="Century Gothic" w:cs="Calibri Light"/>
        </w:rPr>
        <w:t>the regulatory concept of Capacity for Loss (</w:t>
      </w:r>
      <w:r w:rsidR="009E361C" w:rsidRPr="00810F4F">
        <w:rPr>
          <w:rFonts w:ascii="Century Gothic" w:hAnsi="Century Gothic" w:cs="Calibri Light"/>
        </w:rPr>
        <w:t>CFL</w:t>
      </w:r>
      <w:r w:rsidR="003B461C" w:rsidRPr="00810F4F">
        <w:rPr>
          <w:rFonts w:ascii="Century Gothic" w:hAnsi="Century Gothic" w:cs="Calibri Light"/>
        </w:rPr>
        <w:t>)</w:t>
      </w:r>
      <w:r w:rsidR="009E361C" w:rsidRPr="00810F4F">
        <w:rPr>
          <w:rFonts w:ascii="Century Gothic" w:hAnsi="Century Gothic" w:cs="Calibri Light"/>
        </w:rPr>
        <w:t>.</w:t>
      </w:r>
    </w:p>
    <w:p w14:paraId="4A5F0844" w14:textId="741F35A6" w:rsidR="009E361C" w:rsidRPr="00810F4F" w:rsidRDefault="00485F49" w:rsidP="00A8085F">
      <w:pPr>
        <w:jc w:val="both"/>
        <w:rPr>
          <w:rFonts w:ascii="Century Gothic" w:hAnsi="Century Gothic" w:cs="Calibri Light"/>
        </w:rPr>
      </w:pPr>
      <w:r w:rsidRPr="00810F4F">
        <w:rPr>
          <w:rFonts w:ascii="Century Gothic" w:hAnsi="Century Gothic" w:cs="Calibri Light"/>
        </w:rPr>
        <w:t xml:space="preserve">For this </w:t>
      </w:r>
      <w:r w:rsidR="00CE043A" w:rsidRPr="00810F4F">
        <w:rPr>
          <w:rFonts w:ascii="Century Gothic" w:hAnsi="Century Gothic" w:cs="Calibri Light"/>
        </w:rPr>
        <w:t>reason,</w:t>
      </w:r>
      <w:r w:rsidRPr="00810F4F">
        <w:rPr>
          <w:rFonts w:ascii="Century Gothic" w:hAnsi="Century Gothic" w:cs="Calibri Light"/>
        </w:rPr>
        <w:t xml:space="preserve"> we begin our cash flow programme approximately 10 years prior to anticipated </w:t>
      </w:r>
      <w:r w:rsidR="00CE0730" w:rsidRPr="00810F4F">
        <w:rPr>
          <w:rFonts w:ascii="Century Gothic" w:hAnsi="Century Gothic" w:cs="Calibri Light"/>
        </w:rPr>
        <w:t>retirement age</w:t>
      </w:r>
      <w:r w:rsidR="009E361C" w:rsidRPr="00810F4F">
        <w:rPr>
          <w:rFonts w:ascii="Century Gothic" w:hAnsi="Century Gothic" w:cs="Calibri Light"/>
        </w:rPr>
        <w:t xml:space="preserve"> in clients who are going to need assets to supplement income in distribution.</w:t>
      </w:r>
    </w:p>
    <w:p w14:paraId="652AFD07" w14:textId="3B665D01" w:rsidR="009E361C" w:rsidRPr="00810F4F" w:rsidRDefault="009E361C" w:rsidP="00A8085F">
      <w:pPr>
        <w:jc w:val="both"/>
        <w:rPr>
          <w:rFonts w:ascii="Century Gothic" w:hAnsi="Century Gothic" w:cs="Calibri Light"/>
        </w:rPr>
      </w:pPr>
      <w:r w:rsidRPr="00810F4F">
        <w:rPr>
          <w:rFonts w:ascii="Century Gothic" w:hAnsi="Century Gothic" w:cs="Calibri Light"/>
        </w:rPr>
        <w:t xml:space="preserve">For the same cohort of clients, we continue to monitor the sustainability of income through cash flows on an annual basis. </w:t>
      </w:r>
    </w:p>
    <w:p w14:paraId="6DEE8CBE" w14:textId="5700FE5A" w:rsidR="00883DC4" w:rsidRPr="00810F4F" w:rsidRDefault="003B461C" w:rsidP="00A8085F">
      <w:pPr>
        <w:jc w:val="both"/>
        <w:rPr>
          <w:rFonts w:ascii="Century Gothic" w:hAnsi="Century Gothic" w:cs="Calibri Light"/>
        </w:rPr>
      </w:pPr>
      <w:r w:rsidRPr="00810F4F">
        <w:rPr>
          <w:rFonts w:ascii="Century Gothic" w:hAnsi="Century Gothic" w:cs="Calibri Light"/>
        </w:rPr>
        <w:t>We</w:t>
      </w:r>
      <w:r w:rsidR="00883DC4" w:rsidRPr="00810F4F">
        <w:rPr>
          <w:rFonts w:ascii="Century Gothic" w:hAnsi="Century Gothic" w:cs="Calibri Light"/>
        </w:rPr>
        <w:t xml:space="preserve"> utilise cashflow forecasting software – the current method of forecasting growth within the system uses a linear projection and </w:t>
      </w:r>
      <w:r w:rsidR="00D06A95" w:rsidRPr="00810F4F">
        <w:rPr>
          <w:rFonts w:ascii="Century Gothic" w:hAnsi="Century Gothic" w:cs="Calibri Light"/>
        </w:rPr>
        <w:t>we</w:t>
      </w:r>
      <w:r w:rsidR="00883DC4" w:rsidRPr="00810F4F">
        <w:rPr>
          <w:rFonts w:ascii="Century Gothic" w:hAnsi="Century Gothic" w:cs="Calibri Light"/>
        </w:rPr>
        <w:t xml:space="preserve"> have parameters to follow for different risk levels as shown in table below. In addition</w:t>
      </w:r>
      <w:r w:rsidR="00A8085F" w:rsidRPr="00810F4F">
        <w:rPr>
          <w:rFonts w:ascii="Century Gothic" w:hAnsi="Century Gothic" w:cs="Calibri Light"/>
        </w:rPr>
        <w:t>,</w:t>
      </w:r>
      <w:r w:rsidR="00883DC4" w:rsidRPr="00810F4F">
        <w:rPr>
          <w:rFonts w:ascii="Century Gothic" w:hAnsi="Century Gothic" w:cs="Calibri Light"/>
        </w:rPr>
        <w:t xml:space="preserve"> </w:t>
      </w:r>
      <w:r w:rsidR="00D06A95" w:rsidRPr="00810F4F">
        <w:rPr>
          <w:rFonts w:ascii="Century Gothic" w:hAnsi="Century Gothic" w:cs="Calibri Light"/>
        </w:rPr>
        <w:t>we</w:t>
      </w:r>
      <w:r w:rsidR="00883DC4" w:rsidRPr="00810F4F">
        <w:rPr>
          <w:rFonts w:ascii="Century Gothic" w:hAnsi="Century Gothic" w:cs="Calibri Light"/>
        </w:rPr>
        <w:t xml:space="preserve"> will stress test any assumptions by using market correction simulation</w:t>
      </w:r>
      <w:r w:rsidR="00D06A95" w:rsidRPr="00810F4F">
        <w:rPr>
          <w:rFonts w:ascii="Century Gothic" w:hAnsi="Century Gothic" w:cs="Calibri Light"/>
        </w:rPr>
        <w:t>s</w:t>
      </w:r>
      <w:r w:rsidR="00883DC4" w:rsidRPr="00810F4F">
        <w:rPr>
          <w:rFonts w:ascii="Century Gothic" w:hAnsi="Century Gothic" w:cs="Calibri Light"/>
        </w:rPr>
        <w:t xml:space="preserve"> built in to the software. In general</w:t>
      </w:r>
      <w:r w:rsidR="00A8085F" w:rsidRPr="00810F4F">
        <w:rPr>
          <w:rFonts w:ascii="Century Gothic" w:hAnsi="Century Gothic" w:cs="Calibri Light"/>
        </w:rPr>
        <w:t>,</w:t>
      </w:r>
      <w:r w:rsidR="00883DC4" w:rsidRPr="00810F4F">
        <w:rPr>
          <w:rFonts w:ascii="Century Gothic" w:hAnsi="Century Gothic" w:cs="Calibri Light"/>
        </w:rPr>
        <w:t xml:space="preserve"> the correction of the market will be 10 yearly from year of forecast</w:t>
      </w:r>
      <w:r w:rsidR="006C1827" w:rsidRPr="00810F4F">
        <w:rPr>
          <w:rFonts w:ascii="Century Gothic" w:hAnsi="Century Gothic" w:cs="Calibri Light"/>
        </w:rPr>
        <w:t xml:space="preserve"> and the drop in value will correspond with the risk table figure. Another simulation which is often used is to reduce the level of expected annual growth </w:t>
      </w:r>
      <w:r w:rsidR="00CE043A" w:rsidRPr="00810F4F">
        <w:rPr>
          <w:rFonts w:ascii="Century Gothic" w:hAnsi="Century Gothic" w:cs="Calibri Light"/>
        </w:rPr>
        <w:t>- if</w:t>
      </w:r>
      <w:r w:rsidR="006C1827" w:rsidRPr="00810F4F">
        <w:rPr>
          <w:rFonts w:ascii="Century Gothic" w:hAnsi="Century Gothic" w:cs="Calibri Light"/>
        </w:rPr>
        <w:t xml:space="preserve"> 5% per annum is expected growth then simulate what would happen if 3% growth was actual and how does capital last.</w:t>
      </w:r>
    </w:p>
    <w:p w14:paraId="0F5398A4" w14:textId="5DC2767A" w:rsidR="00147AD2" w:rsidRPr="00C4779A" w:rsidRDefault="00C4779A" w:rsidP="00A8085F">
      <w:pPr>
        <w:spacing w:after="0" w:line="240" w:lineRule="auto"/>
        <w:jc w:val="both"/>
        <w:rPr>
          <w:rFonts w:ascii="Century Gothic" w:hAnsi="Century Gothic" w:cs="Calibri Light"/>
          <w:color w:val="FF0000"/>
        </w:rPr>
      </w:pPr>
      <w:r w:rsidRPr="00C4779A">
        <w:rPr>
          <w:rFonts w:ascii="Century Gothic" w:hAnsi="Century Gothic" w:cs="Calibri Light"/>
          <w:color w:val="FF0000"/>
        </w:rPr>
        <w:t>Example</w:t>
      </w:r>
    </w:p>
    <w:tbl>
      <w:tblPr>
        <w:tblW w:w="0" w:type="auto"/>
        <w:jc w:val="center"/>
        <w:tblCellMar>
          <w:left w:w="0" w:type="dxa"/>
          <w:right w:w="0" w:type="dxa"/>
        </w:tblCellMar>
        <w:tblLook w:val="04A0" w:firstRow="1" w:lastRow="0" w:firstColumn="1" w:lastColumn="0" w:noHBand="0" w:noVBand="1"/>
      </w:tblPr>
      <w:tblGrid>
        <w:gridCol w:w="2594"/>
        <w:gridCol w:w="2262"/>
        <w:gridCol w:w="2262"/>
        <w:gridCol w:w="1888"/>
      </w:tblGrid>
      <w:tr w:rsidR="00EA0462" w:rsidRPr="00EA0462" w14:paraId="653C1452" w14:textId="77777777" w:rsidTr="00EA0462">
        <w:trPr>
          <w:jc w:val="center"/>
        </w:trPr>
        <w:tc>
          <w:tcPr>
            <w:tcW w:w="2594" w:type="dxa"/>
            <w:tcBorders>
              <w:top w:val="single" w:sz="8" w:space="0" w:color="auto"/>
              <w:left w:val="single" w:sz="8" w:space="0" w:color="auto"/>
              <w:bottom w:val="single" w:sz="8" w:space="0" w:color="auto"/>
              <w:right w:val="single" w:sz="8" w:space="0" w:color="auto"/>
            </w:tcBorders>
            <w:shd w:val="clear" w:color="auto" w:fill="009193"/>
            <w:tcMar>
              <w:top w:w="0" w:type="dxa"/>
              <w:left w:w="108" w:type="dxa"/>
              <w:bottom w:w="0" w:type="dxa"/>
              <w:right w:w="108" w:type="dxa"/>
            </w:tcMar>
            <w:vAlign w:val="center"/>
            <w:hideMark/>
          </w:tcPr>
          <w:p w14:paraId="1513765D" w14:textId="686BC3B0" w:rsidR="00147AD2" w:rsidRPr="00EA0462" w:rsidRDefault="00D06A95" w:rsidP="00241BE3">
            <w:pPr>
              <w:spacing w:after="0" w:line="240" w:lineRule="auto"/>
              <w:jc w:val="center"/>
              <w:rPr>
                <w:rFonts w:ascii="Century Gothic" w:hAnsi="Century Gothic" w:cs="Calibri Light"/>
                <w:b/>
                <w:color w:val="FFFFFF" w:themeColor="background1"/>
              </w:rPr>
            </w:pPr>
            <w:r w:rsidRPr="00EA0462">
              <w:rPr>
                <w:rFonts w:ascii="Century Gothic" w:hAnsi="Century Gothic" w:cs="Calibri Light"/>
                <w:b/>
                <w:color w:val="FFFFFF" w:themeColor="background1"/>
              </w:rPr>
              <w:t>Risk</w:t>
            </w:r>
            <w:r w:rsidR="00147AD2" w:rsidRPr="00EA0462">
              <w:rPr>
                <w:rFonts w:ascii="Century Gothic" w:hAnsi="Century Gothic" w:cs="Calibri Light"/>
                <w:b/>
                <w:color w:val="FFFFFF" w:themeColor="background1"/>
              </w:rPr>
              <w:t xml:space="preserve"> Score</w:t>
            </w:r>
          </w:p>
        </w:tc>
        <w:tc>
          <w:tcPr>
            <w:tcW w:w="2262" w:type="dxa"/>
            <w:tcBorders>
              <w:top w:val="single" w:sz="8" w:space="0" w:color="auto"/>
              <w:left w:val="nil"/>
              <w:bottom w:val="single" w:sz="8" w:space="0" w:color="auto"/>
              <w:right w:val="single" w:sz="8" w:space="0" w:color="auto"/>
            </w:tcBorders>
            <w:shd w:val="clear" w:color="auto" w:fill="009193"/>
            <w:tcMar>
              <w:top w:w="0" w:type="dxa"/>
              <w:left w:w="108" w:type="dxa"/>
              <w:bottom w:w="0" w:type="dxa"/>
              <w:right w:w="108" w:type="dxa"/>
            </w:tcMar>
            <w:vAlign w:val="center"/>
            <w:hideMark/>
          </w:tcPr>
          <w:p w14:paraId="26B09CC3" w14:textId="77777777" w:rsidR="00147AD2" w:rsidRPr="00EA0462" w:rsidRDefault="00147AD2" w:rsidP="00781D6C">
            <w:pPr>
              <w:spacing w:after="0" w:line="240" w:lineRule="auto"/>
              <w:jc w:val="center"/>
              <w:rPr>
                <w:rFonts w:ascii="Century Gothic" w:hAnsi="Century Gothic" w:cs="Calibri Light"/>
                <w:b/>
                <w:color w:val="FFFFFF" w:themeColor="background1"/>
              </w:rPr>
            </w:pPr>
            <w:r w:rsidRPr="00EA0462">
              <w:rPr>
                <w:rFonts w:ascii="Century Gothic" w:hAnsi="Century Gothic" w:cs="Calibri Light"/>
                <w:b/>
                <w:color w:val="FFFFFF" w:themeColor="background1"/>
              </w:rPr>
              <w:t>Expected Average Annual Return</w:t>
            </w:r>
          </w:p>
        </w:tc>
        <w:tc>
          <w:tcPr>
            <w:tcW w:w="2262" w:type="dxa"/>
            <w:tcBorders>
              <w:top w:val="single" w:sz="8" w:space="0" w:color="auto"/>
              <w:left w:val="nil"/>
              <w:bottom w:val="single" w:sz="8" w:space="0" w:color="auto"/>
              <w:right w:val="single" w:sz="8" w:space="0" w:color="auto"/>
            </w:tcBorders>
            <w:shd w:val="clear" w:color="auto" w:fill="009193"/>
            <w:tcMar>
              <w:top w:w="0" w:type="dxa"/>
              <w:left w:w="108" w:type="dxa"/>
              <w:bottom w:w="0" w:type="dxa"/>
              <w:right w:w="108" w:type="dxa"/>
            </w:tcMar>
            <w:vAlign w:val="center"/>
            <w:hideMark/>
          </w:tcPr>
          <w:p w14:paraId="607AA98C" w14:textId="77777777" w:rsidR="00147AD2" w:rsidRPr="00EA0462" w:rsidRDefault="00147AD2" w:rsidP="00781D6C">
            <w:pPr>
              <w:spacing w:after="0" w:line="240" w:lineRule="auto"/>
              <w:jc w:val="center"/>
              <w:rPr>
                <w:rFonts w:ascii="Century Gothic" w:hAnsi="Century Gothic" w:cs="Calibri Light"/>
                <w:b/>
                <w:color w:val="FFFFFF" w:themeColor="background1"/>
              </w:rPr>
            </w:pPr>
            <w:r w:rsidRPr="00EA0462">
              <w:rPr>
                <w:rFonts w:ascii="Century Gothic" w:hAnsi="Century Gothic" w:cs="Calibri Light"/>
                <w:b/>
                <w:color w:val="FFFFFF" w:themeColor="background1"/>
              </w:rPr>
              <w:t>Expected Average Annual Volatility</w:t>
            </w:r>
          </w:p>
        </w:tc>
        <w:tc>
          <w:tcPr>
            <w:tcW w:w="1888" w:type="dxa"/>
            <w:tcBorders>
              <w:top w:val="single" w:sz="8" w:space="0" w:color="auto"/>
              <w:left w:val="nil"/>
              <w:bottom w:val="single" w:sz="8" w:space="0" w:color="auto"/>
              <w:right w:val="single" w:sz="8" w:space="0" w:color="auto"/>
            </w:tcBorders>
            <w:shd w:val="clear" w:color="auto" w:fill="009193"/>
            <w:vAlign w:val="center"/>
          </w:tcPr>
          <w:p w14:paraId="5CC74F5A" w14:textId="77777777" w:rsidR="00147AD2" w:rsidRPr="00EA0462" w:rsidRDefault="00147AD2">
            <w:pPr>
              <w:spacing w:after="0" w:line="240" w:lineRule="auto"/>
              <w:jc w:val="center"/>
              <w:rPr>
                <w:rFonts w:ascii="Century Gothic" w:hAnsi="Century Gothic" w:cs="Calibri Light"/>
                <w:b/>
                <w:color w:val="FFFFFF" w:themeColor="background1"/>
              </w:rPr>
            </w:pPr>
            <w:r w:rsidRPr="00EA0462">
              <w:rPr>
                <w:rFonts w:ascii="Century Gothic" w:hAnsi="Century Gothic" w:cs="Calibri Light"/>
                <w:b/>
                <w:color w:val="FFFFFF" w:themeColor="background1"/>
              </w:rPr>
              <w:t>Stress Test Market Crash Assumption</w:t>
            </w:r>
          </w:p>
        </w:tc>
      </w:tr>
      <w:tr w:rsidR="00147AD2" w:rsidRPr="00810F4F" w14:paraId="2A95075E" w14:textId="77777777" w:rsidTr="00781D6C">
        <w:trPr>
          <w:jc w:val="center"/>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48BD1" w14:textId="22605E25" w:rsidR="00147AD2" w:rsidRPr="00810F4F" w:rsidRDefault="00CE043A" w:rsidP="00A8085F">
            <w:pPr>
              <w:spacing w:after="0" w:line="240" w:lineRule="auto"/>
              <w:jc w:val="both"/>
              <w:rPr>
                <w:rFonts w:ascii="Century Gothic" w:hAnsi="Century Gothic" w:cs="Calibri Light"/>
              </w:rPr>
            </w:pPr>
            <w:r w:rsidRPr="00810F4F">
              <w:rPr>
                <w:rFonts w:ascii="Century Gothic" w:hAnsi="Century Gothic" w:cs="Calibri Light"/>
              </w:rPr>
              <w:t xml:space="preserve">3 - </w:t>
            </w:r>
            <w:r w:rsidR="00D04178">
              <w:rPr>
                <w:rFonts w:ascii="Century Gothic" w:hAnsi="Century Gothic" w:cs="Calibri Light"/>
              </w:rPr>
              <w:t xml:space="preserve">  </w:t>
            </w:r>
            <w:r w:rsidRPr="00810F4F">
              <w:rPr>
                <w:rFonts w:ascii="Century Gothic" w:hAnsi="Century Gothic" w:cs="Calibri Light"/>
              </w:rPr>
              <w:t>Low</w:t>
            </w:r>
            <w:r w:rsidR="00147AD2" w:rsidRPr="00810F4F">
              <w:rPr>
                <w:rFonts w:ascii="Century Gothic" w:hAnsi="Century Gothic" w:cs="Calibri Light"/>
              </w:rPr>
              <w:t xml:space="preserve"> Risk</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4BEB1" w14:textId="77777777" w:rsidR="00147AD2" w:rsidRPr="00810F4F" w:rsidRDefault="00147AD2" w:rsidP="00781D6C">
            <w:pPr>
              <w:spacing w:after="0" w:line="240" w:lineRule="auto"/>
              <w:jc w:val="center"/>
              <w:rPr>
                <w:rFonts w:ascii="Century Gothic" w:hAnsi="Century Gothic" w:cs="Calibri Light"/>
              </w:rPr>
            </w:pPr>
            <w:r w:rsidRPr="00810F4F">
              <w:rPr>
                <w:rFonts w:ascii="Century Gothic" w:hAnsi="Century Gothic" w:cs="Calibri Light"/>
              </w:rPr>
              <w:t>3%</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49079" w14:textId="77777777" w:rsidR="00147AD2" w:rsidRPr="00810F4F" w:rsidRDefault="00147AD2" w:rsidP="00781D6C">
            <w:pPr>
              <w:spacing w:after="0" w:line="240" w:lineRule="auto"/>
              <w:jc w:val="center"/>
              <w:rPr>
                <w:rFonts w:ascii="Century Gothic" w:hAnsi="Century Gothic" w:cs="Calibri Light"/>
              </w:rPr>
            </w:pPr>
            <w:r w:rsidRPr="00810F4F">
              <w:rPr>
                <w:rFonts w:ascii="Century Gothic" w:hAnsi="Century Gothic" w:cs="Calibri Light"/>
              </w:rPr>
              <w:t>+/</w:t>
            </w:r>
            <w:proofErr w:type="gramStart"/>
            <w:r w:rsidRPr="00810F4F">
              <w:rPr>
                <w:rFonts w:ascii="Century Gothic" w:hAnsi="Century Gothic" w:cs="Calibri Light"/>
              </w:rPr>
              <w:t>-  6</w:t>
            </w:r>
            <w:proofErr w:type="gramEnd"/>
            <w:r w:rsidRPr="00810F4F">
              <w:rPr>
                <w:rFonts w:ascii="Century Gothic" w:hAnsi="Century Gothic" w:cs="Calibri Light"/>
              </w:rPr>
              <w:t>%</w:t>
            </w:r>
          </w:p>
        </w:tc>
        <w:tc>
          <w:tcPr>
            <w:tcW w:w="1888" w:type="dxa"/>
            <w:tcBorders>
              <w:top w:val="nil"/>
              <w:left w:val="nil"/>
              <w:bottom w:val="single" w:sz="8" w:space="0" w:color="auto"/>
              <w:right w:val="single" w:sz="8" w:space="0" w:color="auto"/>
            </w:tcBorders>
            <w:vAlign w:val="center"/>
          </w:tcPr>
          <w:p w14:paraId="76475BAE" w14:textId="5718B5A2" w:rsidR="00147AD2" w:rsidRPr="00810F4F" w:rsidRDefault="00147AD2" w:rsidP="00781D6C">
            <w:pPr>
              <w:spacing w:after="0" w:line="240" w:lineRule="auto"/>
              <w:jc w:val="center"/>
              <w:rPr>
                <w:rFonts w:ascii="Century Gothic" w:hAnsi="Century Gothic" w:cs="Calibri Light"/>
              </w:rPr>
            </w:pPr>
            <w:r w:rsidRPr="00810F4F">
              <w:rPr>
                <w:rFonts w:ascii="Century Gothic" w:hAnsi="Century Gothic" w:cs="Calibri Light"/>
              </w:rPr>
              <w:t>-10%</w:t>
            </w:r>
          </w:p>
        </w:tc>
      </w:tr>
      <w:tr w:rsidR="00147AD2" w:rsidRPr="00810F4F" w14:paraId="11CBFEA7" w14:textId="77777777" w:rsidTr="00781D6C">
        <w:trPr>
          <w:jc w:val="center"/>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485D04" w14:textId="093F1AE5" w:rsidR="00147AD2" w:rsidRPr="00810F4F" w:rsidRDefault="00147AD2" w:rsidP="00A8085F">
            <w:pPr>
              <w:spacing w:after="0" w:line="240" w:lineRule="auto"/>
              <w:jc w:val="both"/>
              <w:rPr>
                <w:rFonts w:ascii="Century Gothic" w:hAnsi="Century Gothic" w:cs="Calibri Light"/>
              </w:rPr>
            </w:pPr>
            <w:proofErr w:type="gramStart"/>
            <w:r w:rsidRPr="00810F4F">
              <w:rPr>
                <w:rFonts w:ascii="Century Gothic" w:hAnsi="Century Gothic" w:cs="Calibri Light"/>
              </w:rPr>
              <w:t>4  -</w:t>
            </w:r>
            <w:proofErr w:type="gramEnd"/>
            <w:r w:rsidRPr="00810F4F">
              <w:rPr>
                <w:rFonts w:ascii="Century Gothic" w:hAnsi="Century Gothic" w:cs="Calibri Light"/>
              </w:rPr>
              <w:t>  Low</w:t>
            </w:r>
            <w:r w:rsidR="00D06A95" w:rsidRPr="00810F4F">
              <w:rPr>
                <w:rFonts w:ascii="Century Gothic" w:hAnsi="Century Gothic" w:cs="Calibri Light"/>
              </w:rPr>
              <w:t xml:space="preserve"> - </w:t>
            </w:r>
            <w:r w:rsidRPr="00810F4F">
              <w:rPr>
                <w:rFonts w:ascii="Century Gothic" w:hAnsi="Century Gothic" w:cs="Calibri Light"/>
              </w:rPr>
              <w:t>Medium</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254151" w14:textId="77777777" w:rsidR="00147AD2" w:rsidRPr="00810F4F" w:rsidRDefault="00147AD2" w:rsidP="00781D6C">
            <w:pPr>
              <w:spacing w:after="0" w:line="240" w:lineRule="auto"/>
              <w:jc w:val="center"/>
              <w:rPr>
                <w:rFonts w:ascii="Century Gothic" w:hAnsi="Century Gothic" w:cs="Calibri Light"/>
              </w:rPr>
            </w:pPr>
            <w:r w:rsidRPr="00810F4F">
              <w:rPr>
                <w:rFonts w:ascii="Century Gothic" w:hAnsi="Century Gothic" w:cs="Calibri Light"/>
              </w:rPr>
              <w:t>4%</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477241" w14:textId="77777777" w:rsidR="00147AD2" w:rsidRPr="00810F4F" w:rsidRDefault="00147AD2" w:rsidP="00781D6C">
            <w:pPr>
              <w:spacing w:after="0" w:line="240" w:lineRule="auto"/>
              <w:jc w:val="center"/>
              <w:rPr>
                <w:rFonts w:ascii="Century Gothic" w:hAnsi="Century Gothic" w:cs="Calibri Light"/>
              </w:rPr>
            </w:pPr>
            <w:r w:rsidRPr="00810F4F">
              <w:rPr>
                <w:rFonts w:ascii="Century Gothic" w:hAnsi="Century Gothic" w:cs="Calibri Light"/>
              </w:rPr>
              <w:t>+/</w:t>
            </w:r>
            <w:proofErr w:type="gramStart"/>
            <w:r w:rsidRPr="00810F4F">
              <w:rPr>
                <w:rFonts w:ascii="Century Gothic" w:hAnsi="Century Gothic" w:cs="Calibri Light"/>
              </w:rPr>
              <w:t>-  8</w:t>
            </w:r>
            <w:proofErr w:type="gramEnd"/>
            <w:r w:rsidRPr="00810F4F">
              <w:rPr>
                <w:rFonts w:ascii="Century Gothic" w:hAnsi="Century Gothic" w:cs="Calibri Light"/>
              </w:rPr>
              <w:t>%</w:t>
            </w:r>
          </w:p>
        </w:tc>
        <w:tc>
          <w:tcPr>
            <w:tcW w:w="1888" w:type="dxa"/>
            <w:tcBorders>
              <w:top w:val="nil"/>
              <w:left w:val="nil"/>
              <w:bottom w:val="single" w:sz="8" w:space="0" w:color="auto"/>
              <w:right w:val="single" w:sz="8" w:space="0" w:color="auto"/>
            </w:tcBorders>
            <w:vAlign w:val="center"/>
          </w:tcPr>
          <w:p w14:paraId="04F6F970" w14:textId="69FCFA91" w:rsidR="00147AD2" w:rsidRPr="00810F4F" w:rsidRDefault="00147AD2" w:rsidP="00781D6C">
            <w:pPr>
              <w:spacing w:after="0" w:line="240" w:lineRule="auto"/>
              <w:jc w:val="center"/>
              <w:rPr>
                <w:rFonts w:ascii="Century Gothic" w:hAnsi="Century Gothic" w:cs="Calibri Light"/>
              </w:rPr>
            </w:pPr>
            <w:r w:rsidRPr="00810F4F">
              <w:rPr>
                <w:rFonts w:ascii="Century Gothic" w:hAnsi="Century Gothic" w:cs="Calibri Light"/>
              </w:rPr>
              <w:t>-15%</w:t>
            </w:r>
          </w:p>
        </w:tc>
      </w:tr>
      <w:tr w:rsidR="00147AD2" w:rsidRPr="00810F4F" w14:paraId="18B81C0D" w14:textId="77777777" w:rsidTr="00781D6C">
        <w:trPr>
          <w:jc w:val="center"/>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512A6" w14:textId="54F78281" w:rsidR="00147AD2" w:rsidRPr="00810F4F" w:rsidRDefault="00147AD2" w:rsidP="00A8085F">
            <w:pPr>
              <w:spacing w:after="0" w:line="240" w:lineRule="auto"/>
              <w:jc w:val="both"/>
              <w:rPr>
                <w:rFonts w:ascii="Century Gothic" w:hAnsi="Century Gothic" w:cs="Calibri Light"/>
              </w:rPr>
            </w:pPr>
            <w:proofErr w:type="gramStart"/>
            <w:r w:rsidRPr="00810F4F">
              <w:rPr>
                <w:rFonts w:ascii="Century Gothic" w:hAnsi="Century Gothic" w:cs="Calibri Light"/>
              </w:rPr>
              <w:t>5  -</w:t>
            </w:r>
            <w:proofErr w:type="gramEnd"/>
            <w:r w:rsidRPr="00810F4F">
              <w:rPr>
                <w:rFonts w:ascii="Century Gothic" w:hAnsi="Century Gothic" w:cs="Calibri Light"/>
              </w:rPr>
              <w:t>  Medium</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95D2C" w14:textId="77777777" w:rsidR="00147AD2" w:rsidRPr="00810F4F" w:rsidRDefault="00147AD2" w:rsidP="00781D6C">
            <w:pPr>
              <w:spacing w:after="0" w:line="240" w:lineRule="auto"/>
              <w:jc w:val="center"/>
              <w:rPr>
                <w:rFonts w:ascii="Century Gothic" w:hAnsi="Century Gothic" w:cs="Calibri Light"/>
              </w:rPr>
            </w:pPr>
            <w:r w:rsidRPr="00810F4F">
              <w:rPr>
                <w:rFonts w:ascii="Century Gothic" w:hAnsi="Century Gothic" w:cs="Calibri Light"/>
              </w:rPr>
              <w:t>5%</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D825EC" w14:textId="77777777" w:rsidR="00147AD2" w:rsidRPr="00810F4F" w:rsidRDefault="00147AD2" w:rsidP="00781D6C">
            <w:pPr>
              <w:spacing w:after="0" w:line="240" w:lineRule="auto"/>
              <w:jc w:val="center"/>
              <w:rPr>
                <w:rFonts w:ascii="Century Gothic" w:hAnsi="Century Gothic" w:cs="Calibri Light"/>
              </w:rPr>
            </w:pPr>
            <w:r w:rsidRPr="00810F4F">
              <w:rPr>
                <w:rFonts w:ascii="Century Gothic" w:hAnsi="Century Gothic" w:cs="Calibri Light"/>
              </w:rPr>
              <w:t>+/- 10%</w:t>
            </w:r>
          </w:p>
        </w:tc>
        <w:tc>
          <w:tcPr>
            <w:tcW w:w="1888" w:type="dxa"/>
            <w:tcBorders>
              <w:top w:val="nil"/>
              <w:left w:val="nil"/>
              <w:bottom w:val="single" w:sz="8" w:space="0" w:color="auto"/>
              <w:right w:val="single" w:sz="8" w:space="0" w:color="auto"/>
            </w:tcBorders>
            <w:vAlign w:val="center"/>
          </w:tcPr>
          <w:p w14:paraId="09338669" w14:textId="29256A0A" w:rsidR="00147AD2" w:rsidRPr="00810F4F" w:rsidRDefault="00147AD2" w:rsidP="00781D6C">
            <w:pPr>
              <w:spacing w:after="0" w:line="240" w:lineRule="auto"/>
              <w:jc w:val="center"/>
              <w:rPr>
                <w:rFonts w:ascii="Century Gothic" w:hAnsi="Century Gothic" w:cs="Calibri Light"/>
              </w:rPr>
            </w:pPr>
            <w:r w:rsidRPr="00810F4F">
              <w:rPr>
                <w:rFonts w:ascii="Century Gothic" w:hAnsi="Century Gothic" w:cs="Calibri Light"/>
              </w:rPr>
              <w:t>-20%</w:t>
            </w:r>
          </w:p>
        </w:tc>
      </w:tr>
      <w:tr w:rsidR="00147AD2" w:rsidRPr="00810F4F" w14:paraId="063EA82C" w14:textId="77777777" w:rsidTr="00781D6C">
        <w:trPr>
          <w:jc w:val="center"/>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18D126" w14:textId="36567B5C" w:rsidR="00147AD2" w:rsidRPr="00810F4F" w:rsidRDefault="00147AD2" w:rsidP="00A8085F">
            <w:pPr>
              <w:spacing w:after="0" w:line="240" w:lineRule="auto"/>
              <w:jc w:val="both"/>
              <w:rPr>
                <w:rFonts w:ascii="Century Gothic" w:hAnsi="Century Gothic" w:cs="Calibri Light"/>
              </w:rPr>
            </w:pPr>
            <w:proofErr w:type="gramStart"/>
            <w:r w:rsidRPr="00810F4F">
              <w:rPr>
                <w:rFonts w:ascii="Century Gothic" w:hAnsi="Century Gothic" w:cs="Calibri Light"/>
              </w:rPr>
              <w:t>6  -</w:t>
            </w:r>
            <w:proofErr w:type="gramEnd"/>
            <w:r w:rsidRPr="00810F4F">
              <w:rPr>
                <w:rFonts w:ascii="Century Gothic" w:hAnsi="Century Gothic" w:cs="Calibri Light"/>
              </w:rPr>
              <w:t>  Medium</w:t>
            </w:r>
            <w:r w:rsidR="00D06A95" w:rsidRPr="00810F4F">
              <w:rPr>
                <w:rFonts w:ascii="Century Gothic" w:hAnsi="Century Gothic" w:cs="Calibri Light"/>
              </w:rPr>
              <w:t xml:space="preserve"> - High</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C8202" w14:textId="77777777" w:rsidR="00147AD2" w:rsidRPr="00810F4F" w:rsidRDefault="00147AD2" w:rsidP="00781D6C">
            <w:pPr>
              <w:spacing w:after="0" w:line="240" w:lineRule="auto"/>
              <w:jc w:val="center"/>
              <w:rPr>
                <w:rFonts w:ascii="Century Gothic" w:hAnsi="Century Gothic" w:cs="Calibri Light"/>
              </w:rPr>
            </w:pPr>
            <w:r w:rsidRPr="00810F4F">
              <w:rPr>
                <w:rFonts w:ascii="Century Gothic" w:hAnsi="Century Gothic" w:cs="Calibri Light"/>
              </w:rPr>
              <w:t>5.5%</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B47373" w14:textId="77777777" w:rsidR="00147AD2" w:rsidRPr="00810F4F" w:rsidRDefault="00147AD2" w:rsidP="00781D6C">
            <w:pPr>
              <w:spacing w:after="0" w:line="240" w:lineRule="auto"/>
              <w:jc w:val="center"/>
              <w:rPr>
                <w:rFonts w:ascii="Century Gothic" w:hAnsi="Century Gothic" w:cs="Calibri Light"/>
              </w:rPr>
            </w:pPr>
            <w:r w:rsidRPr="00810F4F">
              <w:rPr>
                <w:rFonts w:ascii="Century Gothic" w:hAnsi="Century Gothic" w:cs="Calibri Light"/>
              </w:rPr>
              <w:t>+/- 12%</w:t>
            </w:r>
          </w:p>
        </w:tc>
        <w:tc>
          <w:tcPr>
            <w:tcW w:w="1888" w:type="dxa"/>
            <w:tcBorders>
              <w:top w:val="nil"/>
              <w:left w:val="nil"/>
              <w:bottom w:val="single" w:sz="8" w:space="0" w:color="auto"/>
              <w:right w:val="single" w:sz="8" w:space="0" w:color="auto"/>
            </w:tcBorders>
            <w:vAlign w:val="center"/>
          </w:tcPr>
          <w:p w14:paraId="42BDCBC2" w14:textId="1B61C18D" w:rsidR="00147AD2" w:rsidRPr="00810F4F" w:rsidRDefault="00147AD2" w:rsidP="00781D6C">
            <w:pPr>
              <w:spacing w:after="0" w:line="240" w:lineRule="auto"/>
              <w:jc w:val="center"/>
              <w:rPr>
                <w:rFonts w:ascii="Century Gothic" w:hAnsi="Century Gothic" w:cs="Calibri Light"/>
              </w:rPr>
            </w:pPr>
            <w:r w:rsidRPr="00810F4F">
              <w:rPr>
                <w:rFonts w:ascii="Century Gothic" w:hAnsi="Century Gothic" w:cs="Calibri Light"/>
              </w:rPr>
              <w:t>-25%</w:t>
            </w:r>
          </w:p>
        </w:tc>
      </w:tr>
      <w:tr w:rsidR="00147AD2" w:rsidRPr="00810F4F" w14:paraId="4C7710EC" w14:textId="77777777" w:rsidTr="00781D6C">
        <w:trPr>
          <w:jc w:val="center"/>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65988" w14:textId="2FC2A4FA" w:rsidR="00147AD2" w:rsidRPr="00810F4F" w:rsidRDefault="00147AD2" w:rsidP="00A8085F">
            <w:pPr>
              <w:spacing w:after="0" w:line="240" w:lineRule="auto"/>
              <w:jc w:val="both"/>
              <w:rPr>
                <w:rFonts w:ascii="Century Gothic" w:hAnsi="Century Gothic" w:cs="Calibri Light"/>
              </w:rPr>
            </w:pPr>
            <w:proofErr w:type="gramStart"/>
            <w:r w:rsidRPr="00810F4F">
              <w:rPr>
                <w:rFonts w:ascii="Century Gothic" w:hAnsi="Century Gothic" w:cs="Calibri Light"/>
              </w:rPr>
              <w:t>7  -</w:t>
            </w:r>
            <w:proofErr w:type="gramEnd"/>
            <w:r w:rsidRPr="00810F4F">
              <w:rPr>
                <w:rFonts w:ascii="Century Gothic" w:hAnsi="Century Gothic" w:cs="Calibri Light"/>
              </w:rPr>
              <w:t>  Hig</w:t>
            </w:r>
            <w:r w:rsidR="00D06A95" w:rsidRPr="00810F4F">
              <w:rPr>
                <w:rFonts w:ascii="Century Gothic" w:hAnsi="Century Gothic" w:cs="Calibri Light"/>
              </w:rPr>
              <w:t>h</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657D10" w14:textId="77777777" w:rsidR="00147AD2" w:rsidRPr="00810F4F" w:rsidRDefault="00147AD2" w:rsidP="00781D6C">
            <w:pPr>
              <w:spacing w:after="0" w:line="240" w:lineRule="auto"/>
              <w:jc w:val="center"/>
              <w:rPr>
                <w:rFonts w:ascii="Century Gothic" w:hAnsi="Century Gothic" w:cs="Calibri Light"/>
              </w:rPr>
            </w:pPr>
            <w:r w:rsidRPr="00810F4F">
              <w:rPr>
                <w:rFonts w:ascii="Century Gothic" w:hAnsi="Century Gothic" w:cs="Calibri Light"/>
              </w:rPr>
              <w:t>6%</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BB3AA" w14:textId="77777777" w:rsidR="00147AD2" w:rsidRPr="00810F4F" w:rsidRDefault="00147AD2" w:rsidP="00781D6C">
            <w:pPr>
              <w:spacing w:after="0" w:line="240" w:lineRule="auto"/>
              <w:jc w:val="center"/>
              <w:rPr>
                <w:rFonts w:ascii="Century Gothic" w:hAnsi="Century Gothic" w:cs="Calibri Light"/>
              </w:rPr>
            </w:pPr>
            <w:r w:rsidRPr="00810F4F">
              <w:rPr>
                <w:rFonts w:ascii="Century Gothic" w:hAnsi="Century Gothic" w:cs="Calibri Light"/>
              </w:rPr>
              <w:t>+/- 15%</w:t>
            </w:r>
          </w:p>
        </w:tc>
        <w:tc>
          <w:tcPr>
            <w:tcW w:w="1888" w:type="dxa"/>
            <w:tcBorders>
              <w:top w:val="nil"/>
              <w:left w:val="nil"/>
              <w:bottom w:val="single" w:sz="8" w:space="0" w:color="auto"/>
              <w:right w:val="single" w:sz="8" w:space="0" w:color="auto"/>
            </w:tcBorders>
            <w:vAlign w:val="center"/>
          </w:tcPr>
          <w:p w14:paraId="04A86D55" w14:textId="104AEF61" w:rsidR="00147AD2" w:rsidRPr="00810F4F" w:rsidRDefault="00147AD2" w:rsidP="00781D6C">
            <w:pPr>
              <w:spacing w:after="0" w:line="240" w:lineRule="auto"/>
              <w:jc w:val="center"/>
              <w:rPr>
                <w:rFonts w:ascii="Century Gothic" w:hAnsi="Century Gothic" w:cs="Calibri Light"/>
              </w:rPr>
            </w:pPr>
            <w:r w:rsidRPr="00810F4F">
              <w:rPr>
                <w:rFonts w:ascii="Century Gothic" w:hAnsi="Century Gothic" w:cs="Calibri Light"/>
              </w:rPr>
              <w:t>-30%</w:t>
            </w:r>
          </w:p>
        </w:tc>
      </w:tr>
    </w:tbl>
    <w:p w14:paraId="49DCE02E" w14:textId="77777777" w:rsidR="00147AD2" w:rsidRPr="00810F4F" w:rsidRDefault="00147AD2" w:rsidP="00A8085F">
      <w:pPr>
        <w:jc w:val="both"/>
        <w:rPr>
          <w:rFonts w:ascii="Century Gothic" w:hAnsi="Century Gothic" w:cs="Calibri Light"/>
        </w:rPr>
      </w:pPr>
    </w:p>
    <w:p w14:paraId="3E0E5296" w14:textId="5EDFED31" w:rsidR="006C1827" w:rsidRPr="00810F4F" w:rsidRDefault="00187F6D" w:rsidP="00A8085F">
      <w:pPr>
        <w:jc w:val="both"/>
        <w:rPr>
          <w:rFonts w:ascii="Century Gothic" w:hAnsi="Century Gothic" w:cs="Calibri Light"/>
        </w:rPr>
      </w:pPr>
      <w:r w:rsidRPr="00810F4F">
        <w:rPr>
          <w:rFonts w:ascii="Century Gothic" w:hAnsi="Century Gothic" w:cs="Calibri Light"/>
        </w:rPr>
        <w:lastRenderedPageBreak/>
        <w:t>We</w:t>
      </w:r>
      <w:r w:rsidR="006C1827" w:rsidRPr="00810F4F">
        <w:rPr>
          <w:rFonts w:ascii="Century Gothic" w:hAnsi="Century Gothic" w:cs="Calibri Light"/>
        </w:rPr>
        <w:t xml:space="preserve"> ha</w:t>
      </w:r>
      <w:r w:rsidRPr="00810F4F">
        <w:rPr>
          <w:rFonts w:ascii="Century Gothic" w:hAnsi="Century Gothic" w:cs="Calibri Light"/>
        </w:rPr>
        <w:t>ve</w:t>
      </w:r>
      <w:r w:rsidR="006C1827" w:rsidRPr="00810F4F">
        <w:rPr>
          <w:rFonts w:ascii="Century Gothic" w:hAnsi="Century Gothic" w:cs="Calibri Light"/>
        </w:rPr>
        <w:t xml:space="preserve"> no set rule applying to cash buffers in retirement. Short term expenditure is always left in </w:t>
      </w:r>
      <w:r w:rsidR="00CE043A" w:rsidRPr="00810F4F">
        <w:rPr>
          <w:rFonts w:ascii="Century Gothic" w:hAnsi="Century Gothic" w:cs="Calibri Light"/>
        </w:rPr>
        <w:t>cash,</w:t>
      </w:r>
      <w:r w:rsidR="006C1827" w:rsidRPr="00810F4F">
        <w:rPr>
          <w:rFonts w:ascii="Century Gothic" w:hAnsi="Century Gothic" w:cs="Calibri Light"/>
        </w:rPr>
        <w:t xml:space="preserve"> but income withdrawals would only be moved to cash for a cautious customer or if deemed to be a very volatile market. The research </w:t>
      </w:r>
      <w:r w:rsidRPr="00810F4F">
        <w:rPr>
          <w:rFonts w:ascii="Century Gothic" w:hAnsi="Century Gothic" w:cs="Calibri Light"/>
        </w:rPr>
        <w:t>we have seen</w:t>
      </w:r>
      <w:r w:rsidR="006C1827" w:rsidRPr="00810F4F">
        <w:rPr>
          <w:rFonts w:ascii="Century Gothic" w:hAnsi="Century Gothic" w:cs="Calibri Light"/>
        </w:rPr>
        <w:t xml:space="preserve"> shows that cash buffers do not really make much difference when it comes to sequencing risk and a better strategy is regular reviews and adjusting income withdrawals if required.</w:t>
      </w:r>
    </w:p>
    <w:p w14:paraId="4D3ADAEA" w14:textId="4F9B690F" w:rsidR="00683840" w:rsidRPr="00810F4F" w:rsidRDefault="00187F6D" w:rsidP="00A8085F">
      <w:pPr>
        <w:jc w:val="both"/>
        <w:rPr>
          <w:rFonts w:ascii="Century Gothic" w:hAnsi="Century Gothic" w:cs="Calibri Light"/>
        </w:rPr>
      </w:pPr>
      <w:r w:rsidRPr="00810F4F">
        <w:rPr>
          <w:rFonts w:ascii="Century Gothic" w:hAnsi="Century Gothic" w:cs="Calibri Light"/>
        </w:rPr>
        <w:t xml:space="preserve">We </w:t>
      </w:r>
      <w:r w:rsidR="00683840" w:rsidRPr="00810F4F">
        <w:rPr>
          <w:rFonts w:ascii="Century Gothic" w:hAnsi="Century Gothic" w:cs="Calibri Light"/>
        </w:rPr>
        <w:t>believe that the majority of clients will decrease spending as they get older and there is a later life stage around circa 80 years old when cashflow forecasting show</w:t>
      </w:r>
      <w:r w:rsidR="00C6230F" w:rsidRPr="00810F4F">
        <w:rPr>
          <w:rFonts w:ascii="Century Gothic" w:hAnsi="Century Gothic" w:cs="Calibri Light"/>
        </w:rPr>
        <w:t>s</w:t>
      </w:r>
      <w:r w:rsidR="00683840" w:rsidRPr="00810F4F">
        <w:rPr>
          <w:rFonts w:ascii="Century Gothic" w:hAnsi="Century Gothic" w:cs="Calibri Light"/>
        </w:rPr>
        <w:t xml:space="preserve"> reduction of expenditure. </w:t>
      </w:r>
      <w:r w:rsidR="00CE043A" w:rsidRPr="00810F4F">
        <w:rPr>
          <w:rFonts w:ascii="Century Gothic" w:hAnsi="Century Gothic" w:cs="Calibri Light"/>
        </w:rPr>
        <w:t>However,</w:t>
      </w:r>
      <w:r w:rsidR="00683840" w:rsidRPr="00810F4F">
        <w:rPr>
          <w:rFonts w:ascii="Century Gothic" w:hAnsi="Century Gothic" w:cs="Calibri Light"/>
        </w:rPr>
        <w:t xml:space="preserve"> this can of course vary for some clients and there may well be gifting to family to consider along with potential for care home costs.</w:t>
      </w:r>
    </w:p>
    <w:p w14:paraId="05B5FC0D" w14:textId="31933100" w:rsidR="00485F49" w:rsidRPr="00810F4F" w:rsidRDefault="00485F49" w:rsidP="00A8085F">
      <w:pPr>
        <w:jc w:val="both"/>
        <w:rPr>
          <w:rFonts w:ascii="Century Gothic" w:hAnsi="Century Gothic" w:cs="Calibri Light"/>
        </w:rPr>
      </w:pPr>
    </w:p>
    <w:p w14:paraId="20A79542" w14:textId="47A34011" w:rsidR="00485F49" w:rsidRPr="00810F4F" w:rsidRDefault="003D5BC8" w:rsidP="00A8085F">
      <w:pPr>
        <w:jc w:val="both"/>
        <w:rPr>
          <w:rFonts w:ascii="Century Gothic" w:hAnsi="Century Gothic" w:cs="Calibri Light"/>
          <w:b/>
        </w:rPr>
      </w:pPr>
      <w:r>
        <w:rPr>
          <w:rFonts w:ascii="Century Gothic" w:hAnsi="Century Gothic" w:cs="Calibri Light"/>
          <w:b/>
        </w:rPr>
        <w:t xml:space="preserve">Version: </w:t>
      </w:r>
      <w:proofErr w:type="spellStart"/>
      <w:r w:rsidR="00D04178" w:rsidRPr="00D04178">
        <w:rPr>
          <w:rFonts w:ascii="Century Gothic" w:hAnsi="Century Gothic" w:cs="Calibri Light"/>
          <w:b/>
          <w:highlight w:val="yellow"/>
        </w:rPr>
        <w:t>xxxx</w:t>
      </w:r>
      <w:proofErr w:type="spellEnd"/>
      <w:r w:rsidR="00D04178" w:rsidRPr="00D04178">
        <w:rPr>
          <w:rFonts w:ascii="Century Gothic" w:hAnsi="Century Gothic" w:cs="Calibri Light"/>
          <w:b/>
          <w:highlight w:val="yellow"/>
        </w:rPr>
        <w:t xml:space="preserve"> 20xx</w:t>
      </w:r>
    </w:p>
    <w:sectPr w:rsidR="00485F49" w:rsidRPr="00810F4F" w:rsidSect="00047A3B">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38A46" w14:textId="77777777" w:rsidR="005960FC" w:rsidRDefault="005960FC" w:rsidP="00047A3B">
      <w:pPr>
        <w:spacing w:after="0" w:line="240" w:lineRule="auto"/>
      </w:pPr>
      <w:r>
        <w:separator/>
      </w:r>
    </w:p>
  </w:endnote>
  <w:endnote w:type="continuationSeparator" w:id="0">
    <w:p w14:paraId="14465290" w14:textId="77777777" w:rsidR="005960FC" w:rsidRDefault="005960FC" w:rsidP="0004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3913F" w14:textId="77777777" w:rsidR="00254285" w:rsidRDefault="00254285" w:rsidP="00254285">
    <w:pPr>
      <w:pStyle w:val="Footer"/>
      <w:tabs>
        <w:tab w:val="clear" w:pos="4513"/>
        <w:tab w:val="clear" w:pos="9026"/>
      </w:tabs>
      <w:rPr>
        <w:rFonts w:ascii="Century Gothic" w:hAnsi="Century Gothic"/>
        <w:sz w:val="18"/>
        <w:szCs w:val="18"/>
      </w:rPr>
    </w:pPr>
    <w:r>
      <w:rPr>
        <w:rFonts w:ascii="Century Gothic" w:hAnsi="Century Gothic"/>
        <w:sz w:val="18"/>
        <w:szCs w:val="18"/>
      </w:rPr>
      <w:t>Essentials:</w:t>
    </w:r>
  </w:p>
  <w:p w14:paraId="05DEF182" w14:textId="63AA9EE1" w:rsidR="00047A3B" w:rsidRPr="00254285" w:rsidRDefault="00254285" w:rsidP="00254285">
    <w:pPr>
      <w:pStyle w:val="Footer"/>
      <w:tabs>
        <w:tab w:val="clear" w:pos="4513"/>
        <w:tab w:val="clear" w:pos="9026"/>
      </w:tabs>
      <w:rPr>
        <w:rFonts w:ascii="Century Gothic" w:hAnsi="Century Gothic"/>
        <w:sz w:val="18"/>
        <w:szCs w:val="18"/>
      </w:rPr>
    </w:pPr>
    <w:r>
      <w:rPr>
        <w:rFonts w:ascii="Century Gothic" w:hAnsi="Century Gothic"/>
        <w:sz w:val="18"/>
        <w:szCs w:val="18"/>
      </w:rPr>
      <w:t>ESS30102023 PROD with investment pathways</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 xml:space="preserve">Page </w:t>
    </w:r>
    <w:r w:rsidRPr="00047A3B">
      <w:rPr>
        <w:rFonts w:ascii="Century Gothic" w:hAnsi="Century Gothic"/>
        <w:sz w:val="18"/>
        <w:szCs w:val="18"/>
      </w:rPr>
      <w:fldChar w:fldCharType="begin"/>
    </w:r>
    <w:r w:rsidRPr="00047A3B">
      <w:rPr>
        <w:rFonts w:ascii="Century Gothic" w:hAnsi="Century Gothic"/>
        <w:sz w:val="18"/>
        <w:szCs w:val="18"/>
      </w:rPr>
      <w:instrText xml:space="preserve"> PAGE   \* MERGEFORMAT </w:instrText>
    </w:r>
    <w:r w:rsidRPr="00047A3B">
      <w:rPr>
        <w:rFonts w:ascii="Century Gothic" w:hAnsi="Century Gothic"/>
        <w:sz w:val="18"/>
        <w:szCs w:val="18"/>
      </w:rPr>
      <w:fldChar w:fldCharType="separate"/>
    </w:r>
    <w:r>
      <w:rPr>
        <w:rFonts w:ascii="Century Gothic" w:hAnsi="Century Gothic"/>
        <w:sz w:val="18"/>
        <w:szCs w:val="18"/>
      </w:rPr>
      <w:t>1</w:t>
    </w:r>
    <w:r w:rsidRPr="00047A3B">
      <w:rPr>
        <w:rFonts w:ascii="Century Gothic" w:hAnsi="Century Gothic"/>
        <w:noProof/>
        <w:sz w:val="18"/>
        <w:szCs w:val="18"/>
      </w:rPr>
      <w:fldChar w:fldCharType="end"/>
    </w:r>
    <w:r>
      <w:rPr>
        <w:rFonts w:ascii="Century Gothic" w:hAnsi="Century Gothic"/>
        <w:noProof/>
        <w:sz w:val="18"/>
        <w:szCs w:val="18"/>
      </w:rPr>
      <w:t xml:space="preserve"> of 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7D714" w14:textId="3DF0CE13" w:rsidR="00047A3B" w:rsidRDefault="00254285" w:rsidP="00047A3B">
    <w:pPr>
      <w:pStyle w:val="Footer"/>
      <w:tabs>
        <w:tab w:val="clear" w:pos="4513"/>
        <w:tab w:val="clear" w:pos="9026"/>
      </w:tabs>
      <w:rPr>
        <w:rFonts w:ascii="Century Gothic" w:hAnsi="Century Gothic"/>
        <w:sz w:val="18"/>
        <w:szCs w:val="18"/>
      </w:rPr>
    </w:pPr>
    <w:r>
      <w:rPr>
        <w:rFonts w:ascii="Century Gothic" w:hAnsi="Century Gothic"/>
        <w:sz w:val="18"/>
        <w:szCs w:val="18"/>
      </w:rPr>
      <w:t>Essentials</w:t>
    </w:r>
    <w:r w:rsidR="00047A3B">
      <w:rPr>
        <w:rFonts w:ascii="Century Gothic" w:hAnsi="Century Gothic"/>
        <w:sz w:val="18"/>
        <w:szCs w:val="18"/>
      </w:rPr>
      <w:t>:</w:t>
    </w:r>
  </w:p>
  <w:p w14:paraId="3C23C8B0" w14:textId="64143B01" w:rsidR="00047A3B" w:rsidRPr="00047A3B" w:rsidRDefault="00254285" w:rsidP="00047A3B">
    <w:pPr>
      <w:pStyle w:val="Footer"/>
      <w:tabs>
        <w:tab w:val="clear" w:pos="4513"/>
        <w:tab w:val="clear" w:pos="9026"/>
      </w:tabs>
      <w:rPr>
        <w:rFonts w:ascii="Century Gothic" w:hAnsi="Century Gothic"/>
        <w:sz w:val="18"/>
        <w:szCs w:val="18"/>
      </w:rPr>
    </w:pPr>
    <w:r>
      <w:rPr>
        <w:rFonts w:ascii="Century Gothic" w:hAnsi="Century Gothic"/>
        <w:sz w:val="18"/>
        <w:szCs w:val="18"/>
      </w:rPr>
      <w:t>ESS</w:t>
    </w:r>
    <w:r w:rsidR="00047A3B">
      <w:rPr>
        <w:rFonts w:ascii="Century Gothic" w:hAnsi="Century Gothic"/>
        <w:sz w:val="18"/>
        <w:szCs w:val="18"/>
      </w:rPr>
      <w:t>30102023 PROD with investment pathways</w:t>
    </w:r>
    <w:r w:rsidR="00047A3B">
      <w:rPr>
        <w:rFonts w:ascii="Century Gothic" w:hAnsi="Century Gothic"/>
        <w:sz w:val="18"/>
        <w:szCs w:val="18"/>
      </w:rPr>
      <w:tab/>
    </w:r>
    <w:r w:rsidR="00047A3B">
      <w:rPr>
        <w:rFonts w:ascii="Century Gothic" w:hAnsi="Century Gothic"/>
        <w:sz w:val="18"/>
        <w:szCs w:val="18"/>
      </w:rPr>
      <w:tab/>
    </w:r>
    <w:r w:rsidR="00047A3B">
      <w:rPr>
        <w:rFonts w:ascii="Century Gothic" w:hAnsi="Century Gothic"/>
        <w:sz w:val="18"/>
        <w:szCs w:val="18"/>
      </w:rPr>
      <w:tab/>
    </w:r>
    <w:r w:rsidR="00047A3B">
      <w:rPr>
        <w:rFonts w:ascii="Century Gothic" w:hAnsi="Century Gothic"/>
        <w:sz w:val="18"/>
        <w:szCs w:val="18"/>
      </w:rPr>
      <w:tab/>
    </w:r>
    <w:r w:rsidR="00047A3B">
      <w:rPr>
        <w:rFonts w:ascii="Century Gothic" w:hAnsi="Century Gothic"/>
        <w:sz w:val="18"/>
        <w:szCs w:val="18"/>
      </w:rPr>
      <w:tab/>
    </w:r>
    <w:r w:rsidR="00047A3B">
      <w:rPr>
        <w:rFonts w:ascii="Century Gothic" w:hAnsi="Century Gothic"/>
        <w:sz w:val="18"/>
        <w:szCs w:val="18"/>
      </w:rPr>
      <w:tab/>
      <w:t xml:space="preserve">Page </w:t>
    </w:r>
    <w:r w:rsidR="00047A3B" w:rsidRPr="00047A3B">
      <w:rPr>
        <w:rFonts w:ascii="Century Gothic" w:hAnsi="Century Gothic"/>
        <w:sz w:val="18"/>
        <w:szCs w:val="18"/>
      </w:rPr>
      <w:fldChar w:fldCharType="begin"/>
    </w:r>
    <w:r w:rsidR="00047A3B" w:rsidRPr="00047A3B">
      <w:rPr>
        <w:rFonts w:ascii="Century Gothic" w:hAnsi="Century Gothic"/>
        <w:sz w:val="18"/>
        <w:szCs w:val="18"/>
      </w:rPr>
      <w:instrText xml:space="preserve"> PAGE   \* MERGEFORMAT </w:instrText>
    </w:r>
    <w:r w:rsidR="00047A3B" w:rsidRPr="00047A3B">
      <w:rPr>
        <w:rFonts w:ascii="Century Gothic" w:hAnsi="Century Gothic"/>
        <w:sz w:val="18"/>
        <w:szCs w:val="18"/>
      </w:rPr>
      <w:fldChar w:fldCharType="separate"/>
    </w:r>
    <w:r w:rsidR="00047A3B" w:rsidRPr="00047A3B">
      <w:rPr>
        <w:rFonts w:ascii="Century Gothic" w:hAnsi="Century Gothic"/>
        <w:noProof/>
        <w:sz w:val="18"/>
        <w:szCs w:val="18"/>
      </w:rPr>
      <w:t>1</w:t>
    </w:r>
    <w:r w:rsidR="00047A3B" w:rsidRPr="00047A3B">
      <w:rPr>
        <w:rFonts w:ascii="Century Gothic" w:hAnsi="Century Gothic"/>
        <w:noProof/>
        <w:sz w:val="18"/>
        <w:szCs w:val="18"/>
      </w:rPr>
      <w:fldChar w:fldCharType="end"/>
    </w:r>
    <w:r w:rsidR="00047A3B">
      <w:rPr>
        <w:rFonts w:ascii="Century Gothic" w:hAnsi="Century Gothic"/>
        <w:noProof/>
        <w:sz w:val="18"/>
        <w:szCs w:val="18"/>
      </w:rPr>
      <w:t xml:space="preserve"> of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F2101" w14:textId="77777777" w:rsidR="005960FC" w:rsidRDefault="005960FC" w:rsidP="00047A3B">
      <w:pPr>
        <w:spacing w:after="0" w:line="240" w:lineRule="auto"/>
      </w:pPr>
      <w:r>
        <w:separator/>
      </w:r>
    </w:p>
  </w:footnote>
  <w:footnote w:type="continuationSeparator" w:id="0">
    <w:p w14:paraId="09C67C71" w14:textId="77777777" w:rsidR="005960FC" w:rsidRDefault="005960FC" w:rsidP="00047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9D811" w14:textId="51CF01AD" w:rsidR="00047A3B" w:rsidRDefault="00254285" w:rsidP="00047A3B">
    <w:bookmarkStart w:id="0" w:name="_Hlk170376838"/>
    <w:bookmarkStart w:id="1" w:name="_Hlk170376839"/>
    <w:bookmarkStart w:id="2" w:name="_Hlk170384210"/>
    <w:bookmarkStart w:id="3" w:name="_Hlk170384211"/>
    <w:r>
      <w:rPr>
        <w:rFonts w:ascii="Century Gothic" w:eastAsia="Times New Roman" w:hAnsi="Century Gothic"/>
        <w:b/>
        <w:color w:val="FFFFFF"/>
        <w:sz w:val="36"/>
        <w:szCs w:val="36"/>
        <w:highlight w:val="darkCyan"/>
      </w:rPr>
      <w:t xml:space="preserve">Essentials </w:t>
    </w:r>
    <w:r>
      <w:rPr>
        <w:rFonts w:ascii="Century Gothic" w:eastAsia="Times New Roman" w:hAnsi="Century Gothic"/>
        <w:b/>
        <w:color w:val="FFFFFF"/>
        <w:sz w:val="36"/>
        <w:szCs w:val="36"/>
        <w:highlight w:val="darkCyan"/>
      </w:rPr>
      <w:tab/>
    </w:r>
    <w:r>
      <w:rPr>
        <w:rFonts w:ascii="Century Gothic" w:eastAsia="Times New Roman" w:hAnsi="Century Gothic"/>
        <w:b/>
        <w:color w:val="FFFFFF"/>
        <w:sz w:val="36"/>
        <w:szCs w:val="36"/>
        <w:highlight w:val="darkCyan"/>
      </w:rPr>
      <w:tab/>
    </w:r>
    <w:r>
      <w:rPr>
        <w:rFonts w:ascii="Century Gothic" w:eastAsia="Times New Roman" w:hAnsi="Century Gothic"/>
        <w:b/>
        <w:color w:val="FFFFFF"/>
        <w:sz w:val="36"/>
        <w:szCs w:val="36"/>
        <w:highlight w:val="darkCyan"/>
      </w:rPr>
      <w:tab/>
    </w:r>
    <w:r>
      <w:rPr>
        <w:rFonts w:ascii="Century Gothic" w:eastAsia="Times New Roman" w:hAnsi="Century Gothic"/>
        <w:b/>
        <w:color w:val="FFFFFF"/>
        <w:sz w:val="36"/>
        <w:szCs w:val="36"/>
        <w:highlight w:val="darkCyan"/>
      </w:rPr>
      <w:tab/>
    </w:r>
    <w:r>
      <w:rPr>
        <w:rFonts w:ascii="Century Gothic" w:eastAsia="Times New Roman" w:hAnsi="Century Gothic"/>
        <w:b/>
        <w:color w:val="FFFFFF"/>
        <w:sz w:val="36"/>
        <w:szCs w:val="36"/>
        <w:highlight w:val="darkCyan"/>
      </w:rPr>
      <w:tab/>
    </w:r>
    <w:r w:rsidR="00047A3B">
      <w:rPr>
        <w:rFonts w:ascii="Century Gothic" w:eastAsia="Times New Roman" w:hAnsi="Century Gothic"/>
        <w:b/>
        <w:color w:val="FFFFFF"/>
        <w:sz w:val="36"/>
        <w:szCs w:val="36"/>
        <w:highlight w:val="darkCyan"/>
      </w:rPr>
      <w:tab/>
    </w:r>
    <w:r w:rsidR="00047A3B">
      <w:rPr>
        <w:rFonts w:ascii="Century Gothic" w:eastAsia="Times New Roman" w:hAnsi="Century Gothic"/>
        <w:b/>
        <w:color w:val="FFFFFF"/>
        <w:sz w:val="36"/>
        <w:szCs w:val="36"/>
        <w:highlight w:val="darkCyan"/>
      </w:rPr>
      <w:tab/>
    </w:r>
    <w:r w:rsidR="00047A3B">
      <w:rPr>
        <w:rFonts w:ascii="Century Gothic" w:eastAsia="Times New Roman" w:hAnsi="Century Gothic"/>
        <w:b/>
        <w:color w:val="FFFFFF"/>
        <w:sz w:val="36"/>
        <w:szCs w:val="36"/>
        <w:highlight w:val="darkCyan"/>
      </w:rPr>
      <w:tab/>
    </w:r>
    <w:r w:rsidR="00047A3B">
      <w:rPr>
        <w:rFonts w:ascii="Century Gothic" w:eastAsia="Times New Roman" w:hAnsi="Century Gothic"/>
        <w:b/>
        <w:color w:val="FFFFFF"/>
        <w:sz w:val="36"/>
        <w:szCs w:val="36"/>
        <w:highlight w:val="darkCyan"/>
      </w:rPr>
      <w:tab/>
    </w:r>
    <w:r w:rsidR="00047A3B">
      <w:rPr>
        <w:rFonts w:ascii="Century Gothic" w:eastAsia="Times New Roman" w:hAnsi="Century Gothic"/>
        <w:b/>
        <w:color w:val="FFFFFF"/>
        <w:sz w:val="36"/>
        <w:szCs w:val="36"/>
        <w:highlight w:val="darkCyan"/>
      </w:rPr>
      <w:tab/>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317B9"/>
    <w:multiLevelType w:val="hybridMultilevel"/>
    <w:tmpl w:val="9AAE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E67364"/>
    <w:multiLevelType w:val="hybridMultilevel"/>
    <w:tmpl w:val="1E9EDD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BA67D86"/>
    <w:multiLevelType w:val="hybridMultilevel"/>
    <w:tmpl w:val="8C783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022907">
    <w:abstractNumId w:val="1"/>
  </w:num>
  <w:num w:numId="2" w16cid:durableId="441339654">
    <w:abstractNumId w:val="0"/>
  </w:num>
  <w:num w:numId="3" w16cid:durableId="1804889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D64DF1"/>
    <w:rsid w:val="00007067"/>
    <w:rsid w:val="00017F83"/>
    <w:rsid w:val="00047A3B"/>
    <w:rsid w:val="0005000A"/>
    <w:rsid w:val="000C3EC5"/>
    <w:rsid w:val="000F7CEA"/>
    <w:rsid w:val="00147AD2"/>
    <w:rsid w:val="00187F6D"/>
    <w:rsid w:val="001A62F5"/>
    <w:rsid w:val="001B3B7D"/>
    <w:rsid w:val="001C1667"/>
    <w:rsid w:val="00241BE3"/>
    <w:rsid w:val="00254285"/>
    <w:rsid w:val="0028226D"/>
    <w:rsid w:val="002B74CB"/>
    <w:rsid w:val="003B461C"/>
    <w:rsid w:val="003D5BC8"/>
    <w:rsid w:val="00485F49"/>
    <w:rsid w:val="005960FC"/>
    <w:rsid w:val="005D6DD3"/>
    <w:rsid w:val="006702FB"/>
    <w:rsid w:val="00683840"/>
    <w:rsid w:val="006C1827"/>
    <w:rsid w:val="00742BBD"/>
    <w:rsid w:val="00781D6C"/>
    <w:rsid w:val="007D2A41"/>
    <w:rsid w:val="00810F4F"/>
    <w:rsid w:val="00814206"/>
    <w:rsid w:val="00844920"/>
    <w:rsid w:val="00883DC4"/>
    <w:rsid w:val="0090547E"/>
    <w:rsid w:val="00960800"/>
    <w:rsid w:val="009648BE"/>
    <w:rsid w:val="009D27EB"/>
    <w:rsid w:val="009E361C"/>
    <w:rsid w:val="00A8085F"/>
    <w:rsid w:val="00B3095B"/>
    <w:rsid w:val="00B44B8E"/>
    <w:rsid w:val="00B61023"/>
    <w:rsid w:val="00B62464"/>
    <w:rsid w:val="00C4779A"/>
    <w:rsid w:val="00C6230F"/>
    <w:rsid w:val="00C90070"/>
    <w:rsid w:val="00CD2E49"/>
    <w:rsid w:val="00CE043A"/>
    <w:rsid w:val="00CE0730"/>
    <w:rsid w:val="00D04178"/>
    <w:rsid w:val="00D06A95"/>
    <w:rsid w:val="00D64DF1"/>
    <w:rsid w:val="00DA378C"/>
    <w:rsid w:val="00EA0462"/>
    <w:rsid w:val="00EE47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1EBA0"/>
  <w15:chartTrackingRefBased/>
  <w15:docId w15:val="{AA4E3D9D-66EC-41EB-80D2-3211B654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B7D"/>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1B3B7D"/>
    <w:rPr>
      <w:rFonts w:ascii="Times New Roman" w:hAnsi="Times New Roman" w:cs="Times New Roman"/>
      <w:sz w:val="18"/>
      <w:szCs w:val="18"/>
    </w:rPr>
  </w:style>
  <w:style w:type="table" w:styleId="TableGrid">
    <w:name w:val="Table Grid"/>
    <w:basedOn w:val="TableNormal"/>
    <w:uiPriority w:val="39"/>
    <w:rsid w:val="005D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D2E49"/>
    <w:rPr>
      <w:sz w:val="16"/>
      <w:szCs w:val="16"/>
    </w:rPr>
  </w:style>
  <w:style w:type="paragraph" w:styleId="CommentText">
    <w:name w:val="annotation text"/>
    <w:basedOn w:val="Normal"/>
    <w:link w:val="CommentTextChar"/>
    <w:uiPriority w:val="99"/>
    <w:semiHidden/>
    <w:unhideWhenUsed/>
    <w:rsid w:val="00CD2E49"/>
    <w:pPr>
      <w:spacing w:line="240" w:lineRule="auto"/>
    </w:pPr>
    <w:rPr>
      <w:sz w:val="20"/>
      <w:szCs w:val="20"/>
    </w:rPr>
  </w:style>
  <w:style w:type="character" w:customStyle="1" w:styleId="CommentTextChar">
    <w:name w:val="Comment Text Char"/>
    <w:link w:val="CommentText"/>
    <w:uiPriority w:val="99"/>
    <w:semiHidden/>
    <w:rsid w:val="00CD2E49"/>
    <w:rPr>
      <w:sz w:val="20"/>
      <w:szCs w:val="20"/>
    </w:rPr>
  </w:style>
  <w:style w:type="paragraph" w:styleId="CommentSubject">
    <w:name w:val="annotation subject"/>
    <w:basedOn w:val="CommentText"/>
    <w:next w:val="CommentText"/>
    <w:link w:val="CommentSubjectChar"/>
    <w:uiPriority w:val="99"/>
    <w:semiHidden/>
    <w:unhideWhenUsed/>
    <w:rsid w:val="00CD2E49"/>
    <w:rPr>
      <w:b/>
      <w:bCs/>
    </w:rPr>
  </w:style>
  <w:style w:type="character" w:customStyle="1" w:styleId="CommentSubjectChar">
    <w:name w:val="Comment Subject Char"/>
    <w:link w:val="CommentSubject"/>
    <w:uiPriority w:val="99"/>
    <w:semiHidden/>
    <w:rsid w:val="00CD2E49"/>
    <w:rPr>
      <w:b/>
      <w:bCs/>
      <w:sz w:val="20"/>
      <w:szCs w:val="20"/>
    </w:rPr>
  </w:style>
  <w:style w:type="paragraph" w:styleId="ListParagraph">
    <w:name w:val="List Paragraph"/>
    <w:basedOn w:val="Normal"/>
    <w:uiPriority w:val="34"/>
    <w:qFormat/>
    <w:rsid w:val="001A62F5"/>
    <w:pPr>
      <w:ind w:left="720"/>
      <w:contextualSpacing/>
    </w:pPr>
  </w:style>
  <w:style w:type="paragraph" w:styleId="Header">
    <w:name w:val="header"/>
    <w:basedOn w:val="Normal"/>
    <w:link w:val="HeaderChar"/>
    <w:uiPriority w:val="99"/>
    <w:unhideWhenUsed/>
    <w:rsid w:val="00047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A3B"/>
    <w:rPr>
      <w:sz w:val="22"/>
      <w:szCs w:val="22"/>
    </w:rPr>
  </w:style>
  <w:style w:type="paragraph" w:styleId="Footer">
    <w:name w:val="footer"/>
    <w:basedOn w:val="Normal"/>
    <w:link w:val="FooterChar"/>
    <w:uiPriority w:val="99"/>
    <w:unhideWhenUsed/>
    <w:rsid w:val="00047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A3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0B40D985D174E9F30555B0541AD57" ma:contentTypeVersion="7" ma:contentTypeDescription="Create a new document." ma:contentTypeScope="" ma:versionID="38d11578dd53dc7858d1f9d9f240e0b1">
  <xsd:schema xmlns:xsd="http://www.w3.org/2001/XMLSchema" xmlns:xs="http://www.w3.org/2001/XMLSchema" xmlns:p="http://schemas.microsoft.com/office/2006/metadata/properties" xmlns:ns2="f2641a6e-35f0-41eb-ab09-460c4bc954b3" xmlns:ns3="4746b477-48a6-432d-87c7-9fa5d6fff1c6" targetNamespace="http://schemas.microsoft.com/office/2006/metadata/properties" ma:root="true" ma:fieldsID="8655145332e892b5a3cb246b8aa7bbdc" ns2:_="" ns3:_="">
    <xsd:import namespace="f2641a6e-35f0-41eb-ab09-460c4bc954b3"/>
    <xsd:import namespace="4746b477-48a6-432d-87c7-9fa5d6fff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41a6e-35f0-41eb-ab09-460c4bc95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46b477-48a6-432d-87c7-9fa5d6fff1c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B04B87-CF03-4E90-9583-3710AAD8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41a6e-35f0-41eb-ab09-460c4bc954b3"/>
    <ds:schemaRef ds:uri="4746b477-48a6-432d-87c7-9fa5d6fff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E6EC2-2BE4-4FB6-907E-42E71CEACFF4}">
  <ds:schemaRefs>
    <ds:schemaRef ds:uri="http://schemas.microsoft.com/sharepoint/v3/contenttype/forms"/>
  </ds:schemaRefs>
</ds:datastoreItem>
</file>

<file path=customXml/itemProps3.xml><?xml version="1.0" encoding="utf-8"?>
<ds:datastoreItem xmlns:ds="http://schemas.openxmlformats.org/officeDocument/2006/customXml" ds:itemID="{93AD32DB-3486-4DEE-96E9-A6EC4736D7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1740</Words>
  <Characters>9922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Dennison</dc:creator>
  <cp:keywords/>
  <dc:description/>
  <cp:lastModifiedBy>Sarah Dennison</cp:lastModifiedBy>
  <cp:revision>2</cp:revision>
  <dcterms:created xsi:type="dcterms:W3CDTF">2024-06-27T12:14:00Z</dcterms:created>
  <dcterms:modified xsi:type="dcterms:W3CDTF">2024-06-27T12:14:00Z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0x010100D440B40D985D174E9F30555B0541AD57</vt:lpwstr>
  </property>
</Properties>
</file>