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807" w14:textId="723FEE22" w:rsidR="0014662A" w:rsidRPr="0047221D" w:rsidRDefault="00F76A97" w:rsidP="00203A8E">
      <w:pPr>
        <w:pStyle w:val="Heading1"/>
        <w:rPr>
          <w:rFonts w:ascii="Century Gothic" w:hAnsi="Century Gothic"/>
          <w:color w:val="2A948A"/>
        </w:rPr>
      </w:pPr>
      <w:r w:rsidRPr="0047221D">
        <w:rPr>
          <w:rFonts w:ascii="Century Gothic" w:hAnsi="Century Gothic"/>
          <w:color w:val="2A948A"/>
        </w:rPr>
        <w:t>Due Diligence – Platform Selection</w:t>
      </w:r>
    </w:p>
    <w:p w14:paraId="6E208277" w14:textId="77777777" w:rsidR="00F76A97" w:rsidRPr="007B5096" w:rsidRDefault="00F76A97">
      <w:pPr>
        <w:rPr>
          <w:rFonts w:ascii="Century Gothic" w:hAnsi="Century Gothic" w:cs="Arial"/>
        </w:rPr>
      </w:pPr>
    </w:p>
    <w:p w14:paraId="7DE4ED46" w14:textId="3CF6A477" w:rsidR="00F76A97" w:rsidRPr="00203A8E" w:rsidRDefault="00F76A97" w:rsidP="00E17999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>Overview:</w:t>
      </w:r>
    </w:p>
    <w:p w14:paraId="1851905C" w14:textId="77777777" w:rsidR="0047221D" w:rsidRDefault="0047221D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526FA338" w14:textId="35D06F7B" w:rsidR="00F76A97" w:rsidRPr="007B5096" w:rsidRDefault="007B5096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have researched</w:t>
      </w:r>
      <w:r w:rsidR="00F76A97" w:rsidRPr="007B5096">
        <w:rPr>
          <w:rFonts w:ascii="Century Gothic" w:hAnsi="Century Gothic" w:cs="Arial"/>
          <w:sz w:val="22"/>
          <w:szCs w:val="22"/>
        </w:rPr>
        <w:t xml:space="preserve"> the </w:t>
      </w:r>
      <w:proofErr w:type="gramStart"/>
      <w:r w:rsidR="00F76A97" w:rsidRPr="007B5096">
        <w:rPr>
          <w:rFonts w:ascii="Century Gothic" w:hAnsi="Century Gothic" w:cs="Arial"/>
          <w:sz w:val="22"/>
          <w:szCs w:val="22"/>
        </w:rPr>
        <w:t>market place</w:t>
      </w:r>
      <w:proofErr w:type="gramEnd"/>
      <w:r w:rsidR="00F76A97" w:rsidRPr="007B5096">
        <w:rPr>
          <w:rFonts w:ascii="Century Gothic" w:hAnsi="Century Gothic" w:cs="Arial"/>
          <w:sz w:val="22"/>
          <w:szCs w:val="22"/>
        </w:rPr>
        <w:t xml:space="preserve"> for a provider that best meets the requirements </w:t>
      </w:r>
      <w:r w:rsidR="004C3686" w:rsidRPr="007B5096">
        <w:rPr>
          <w:rFonts w:ascii="Century Gothic" w:hAnsi="Century Gothic" w:cs="Arial"/>
          <w:sz w:val="22"/>
          <w:szCs w:val="22"/>
        </w:rPr>
        <w:t xml:space="preserve">for us to provide our </w:t>
      </w:r>
      <w:r w:rsidR="00F76A97" w:rsidRPr="007B5096">
        <w:rPr>
          <w:rFonts w:ascii="Century Gothic" w:hAnsi="Century Gothic" w:cs="Arial"/>
          <w:sz w:val="22"/>
          <w:szCs w:val="22"/>
        </w:rPr>
        <w:t>Portfolio Service and the needs of our clients.</w:t>
      </w:r>
    </w:p>
    <w:p w14:paraId="1FD580E0" w14:textId="77777777" w:rsidR="00F76A97" w:rsidRPr="007B5096" w:rsidRDefault="00F76A97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23D68ED2" w14:textId="71F406E1" w:rsidR="007463FC" w:rsidRPr="007B5096" w:rsidRDefault="008E4A9F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Our use of platforms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is predicated on clients</w:t>
      </w:r>
      <w:r w:rsidR="007B5096">
        <w:rPr>
          <w:rFonts w:ascii="Century Gothic" w:hAnsi="Century Gothic" w:cs="Arial"/>
          <w:sz w:val="22"/>
          <w:szCs w:val="22"/>
        </w:rPr>
        <w:t>’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best interests</w:t>
      </w:r>
      <w:r w:rsidRPr="007B5096">
        <w:rPr>
          <w:rFonts w:ascii="Century Gothic" w:hAnsi="Century Gothic" w:cs="Arial"/>
          <w:sz w:val="22"/>
          <w:szCs w:val="22"/>
        </w:rPr>
        <w:t>. In certain circumstances there may be no need for a client to use a platform, and in those cases</w:t>
      </w:r>
      <w:r w:rsidR="0047221D">
        <w:rPr>
          <w:rFonts w:ascii="Century Gothic" w:hAnsi="Century Gothic" w:cs="Arial"/>
          <w:sz w:val="22"/>
          <w:szCs w:val="22"/>
        </w:rPr>
        <w:t>,</w:t>
      </w:r>
      <w:r w:rsidRPr="007B5096">
        <w:rPr>
          <w:rFonts w:ascii="Century Gothic" w:hAnsi="Century Gothic" w:cs="Arial"/>
          <w:sz w:val="22"/>
          <w:szCs w:val="22"/>
        </w:rPr>
        <w:t xml:space="preserve"> none is used. This report therefore relates to circumstances where it is appropriate for clients to use </w:t>
      </w:r>
      <w:proofErr w:type="gramStart"/>
      <w:r w:rsidRPr="007B5096">
        <w:rPr>
          <w:rFonts w:ascii="Century Gothic" w:hAnsi="Century Gothic" w:cs="Arial"/>
          <w:sz w:val="22"/>
          <w:szCs w:val="22"/>
        </w:rPr>
        <w:t>a platform</w:t>
      </w:r>
      <w:proofErr w:type="gramEnd"/>
      <w:r w:rsidRPr="007B5096">
        <w:rPr>
          <w:rFonts w:ascii="Century Gothic" w:hAnsi="Century Gothic" w:cs="Arial"/>
          <w:sz w:val="22"/>
          <w:szCs w:val="22"/>
        </w:rPr>
        <w:t>. Typically</w:t>
      </w:r>
      <w:r w:rsidR="0047221D">
        <w:rPr>
          <w:rFonts w:ascii="Century Gothic" w:hAnsi="Century Gothic" w:cs="Arial"/>
          <w:sz w:val="22"/>
          <w:szCs w:val="22"/>
        </w:rPr>
        <w:t>,</w:t>
      </w:r>
      <w:r w:rsidRPr="007B5096">
        <w:rPr>
          <w:rFonts w:ascii="Century Gothic" w:hAnsi="Century Gothic" w:cs="Arial"/>
          <w:sz w:val="22"/>
          <w:szCs w:val="22"/>
        </w:rPr>
        <w:t xml:space="preserve"> but not </w:t>
      </w:r>
      <w:proofErr w:type="gramStart"/>
      <w:r w:rsidRPr="007B5096">
        <w:rPr>
          <w:rFonts w:ascii="Century Gothic" w:hAnsi="Century Gothic" w:cs="Arial"/>
          <w:sz w:val="22"/>
          <w:szCs w:val="22"/>
        </w:rPr>
        <w:t>exclusively</w:t>
      </w:r>
      <w:proofErr w:type="gramEnd"/>
      <w:r w:rsidRPr="007B5096">
        <w:rPr>
          <w:rFonts w:ascii="Century Gothic" w:hAnsi="Century Gothic" w:cs="Arial"/>
          <w:sz w:val="22"/>
          <w:szCs w:val="22"/>
        </w:rPr>
        <w:t xml:space="preserve"> that is when clients have multiple tax wrappers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and where our investment strategies are closely aligned to their financial needs and objectives.</w:t>
      </w:r>
    </w:p>
    <w:p w14:paraId="77B7965C" w14:textId="77777777" w:rsidR="00FF73A6" w:rsidRDefault="00FF73A6" w:rsidP="00203A8E">
      <w:pPr>
        <w:spacing w:line="360" w:lineRule="auto"/>
        <w:jc w:val="both"/>
        <w:rPr>
          <w:rFonts w:ascii="Century Gothic" w:hAnsi="Century Gothic" w:cs="Arial"/>
        </w:rPr>
      </w:pPr>
    </w:p>
    <w:p w14:paraId="59102EBF" w14:textId="273F2838" w:rsidR="00FF73A6" w:rsidRPr="00203A8E" w:rsidRDefault="00FF73A6" w:rsidP="00E17999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>Research tools underpinning this due diligence:</w:t>
      </w:r>
    </w:p>
    <w:p w14:paraId="25B7F561" w14:textId="77777777" w:rsidR="0047221D" w:rsidRDefault="0047221D" w:rsidP="00FF73A6">
      <w:pPr>
        <w:jc w:val="both"/>
        <w:rPr>
          <w:rFonts w:ascii="Century Gothic" w:hAnsi="Century Gothic" w:cs="Arial"/>
          <w:sz w:val="22"/>
          <w:szCs w:val="22"/>
        </w:rPr>
      </w:pPr>
    </w:p>
    <w:p w14:paraId="5CDE41CE" w14:textId="0C1BE8A0" w:rsidR="00FF73A6" w:rsidRDefault="00FF73A6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We have </w:t>
      </w:r>
      <w:r w:rsidRPr="000E2F83">
        <w:rPr>
          <w:rFonts w:ascii="Century Gothic" w:hAnsi="Century Gothic" w:cs="Arial"/>
          <w:sz w:val="22"/>
          <w:szCs w:val="22"/>
          <w:lang w:val="en-GB"/>
        </w:rPr>
        <w:t>utilised</w:t>
      </w:r>
      <w:r w:rsidRPr="007B5096">
        <w:rPr>
          <w:rFonts w:ascii="Century Gothic" w:hAnsi="Century Gothic" w:cs="Arial"/>
          <w:sz w:val="22"/>
          <w:szCs w:val="22"/>
        </w:rPr>
        <w:t xml:space="preserve"> Adviser Asset </w:t>
      </w:r>
      <w:r>
        <w:rPr>
          <w:rFonts w:ascii="Century Gothic" w:hAnsi="Century Gothic" w:cs="Arial"/>
          <w:sz w:val="22"/>
          <w:szCs w:val="22"/>
        </w:rPr>
        <w:t xml:space="preserve">(we have applied separate due diligence to assess their ability to deliver our requirements) </w:t>
      </w:r>
      <w:r w:rsidRPr="007B5096">
        <w:rPr>
          <w:rFonts w:ascii="Century Gothic" w:hAnsi="Century Gothic" w:cs="Arial"/>
          <w:sz w:val="22"/>
          <w:szCs w:val="22"/>
        </w:rPr>
        <w:t xml:space="preserve">to assist in our provider </w:t>
      </w:r>
      <w:r>
        <w:rPr>
          <w:rFonts w:ascii="Century Gothic" w:hAnsi="Century Gothic" w:cs="Arial"/>
          <w:sz w:val="22"/>
          <w:szCs w:val="22"/>
        </w:rPr>
        <w:t xml:space="preserve">features </w:t>
      </w:r>
      <w:r w:rsidRPr="007B5096">
        <w:rPr>
          <w:rFonts w:ascii="Century Gothic" w:hAnsi="Century Gothic" w:cs="Arial"/>
          <w:sz w:val="22"/>
          <w:szCs w:val="22"/>
        </w:rPr>
        <w:t>due diligence and the</w:t>
      </w:r>
      <w:r>
        <w:rPr>
          <w:rFonts w:ascii="Century Gothic" w:hAnsi="Century Gothic" w:cs="Arial"/>
          <w:sz w:val="22"/>
          <w:szCs w:val="22"/>
        </w:rPr>
        <w:t>ir</w:t>
      </w:r>
      <w:r w:rsidRPr="007B5096">
        <w:rPr>
          <w:rFonts w:ascii="Century Gothic" w:hAnsi="Century Gothic" w:cs="Arial"/>
          <w:sz w:val="22"/>
          <w:szCs w:val="22"/>
        </w:rPr>
        <w:t xml:space="preserve"> Platform Evaluation Report dated </w:t>
      </w:r>
      <w:r>
        <w:rPr>
          <w:rFonts w:ascii="Century Gothic" w:hAnsi="Century Gothic" w:cs="Arial"/>
          <w:sz w:val="22"/>
          <w:szCs w:val="22"/>
        </w:rPr>
        <w:t>xx/</w:t>
      </w:r>
      <w:proofErr w:type="spellStart"/>
      <w:r>
        <w:rPr>
          <w:rFonts w:ascii="Century Gothic" w:hAnsi="Century Gothic" w:cs="Arial"/>
          <w:sz w:val="22"/>
          <w:szCs w:val="22"/>
        </w:rPr>
        <w:t>yy</w:t>
      </w:r>
      <w:proofErr w:type="spellEnd"/>
      <w:r>
        <w:rPr>
          <w:rFonts w:ascii="Century Gothic" w:hAnsi="Century Gothic" w:cs="Arial"/>
          <w:sz w:val="22"/>
          <w:szCs w:val="22"/>
        </w:rPr>
        <w:t>/</w:t>
      </w:r>
      <w:proofErr w:type="spellStart"/>
      <w:r>
        <w:rPr>
          <w:rFonts w:ascii="Century Gothic" w:hAnsi="Century Gothic" w:cs="Arial"/>
          <w:sz w:val="22"/>
          <w:szCs w:val="22"/>
        </w:rPr>
        <w:t>zz</w:t>
      </w:r>
      <w:proofErr w:type="spellEnd"/>
      <w:r w:rsidRPr="007B5096">
        <w:rPr>
          <w:rFonts w:ascii="Century Gothic" w:hAnsi="Century Gothic" w:cs="Arial"/>
          <w:sz w:val="22"/>
          <w:szCs w:val="22"/>
        </w:rPr>
        <w:t xml:space="preserve"> presents our findings and this complies with the FCA requirements.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58F75AB" w14:textId="77777777" w:rsidR="00FF73A6" w:rsidRDefault="00FF73A6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6E538B34" w14:textId="5431B7FA" w:rsidR="008E4A9F" w:rsidRDefault="00FF73A6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also used The Lang Cat to assess charges </w:t>
      </w:r>
      <w:proofErr w:type="gramStart"/>
      <w:r>
        <w:rPr>
          <w:rFonts w:ascii="Century Gothic" w:hAnsi="Century Gothic" w:cs="Arial"/>
          <w:sz w:val="22"/>
          <w:szCs w:val="22"/>
        </w:rPr>
        <w:t>at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the point we were down to a short list of providers (Sift 3 below). We have done this because Adviser Asset does not look at costs effectively.</w:t>
      </w:r>
    </w:p>
    <w:p w14:paraId="126BD747" w14:textId="77777777" w:rsidR="00E17999" w:rsidRPr="00E17999" w:rsidRDefault="00E17999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77EAC8B7" w14:textId="20FDA9EF" w:rsidR="00F76A97" w:rsidRPr="00203A8E" w:rsidRDefault="00F76A97" w:rsidP="00E17999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>The main criteria:</w:t>
      </w:r>
    </w:p>
    <w:p w14:paraId="04ECE537" w14:textId="77777777" w:rsidR="0047221D" w:rsidRDefault="0047221D" w:rsidP="0047221D">
      <w:pPr>
        <w:pStyle w:val="ListParagraph"/>
        <w:jc w:val="both"/>
        <w:rPr>
          <w:rFonts w:ascii="Century Gothic" w:hAnsi="Century Gothic" w:cs="Arial"/>
          <w:sz w:val="22"/>
          <w:szCs w:val="22"/>
        </w:rPr>
      </w:pPr>
    </w:p>
    <w:p w14:paraId="05231D27" w14:textId="39B8E318" w:rsidR="00F76A97" w:rsidRPr="007B5096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Access to funds across all asset classes (e.g. bonds, equities, property)</w:t>
      </w:r>
    </w:p>
    <w:p w14:paraId="2F2220A2" w14:textId="77777777" w:rsidR="00F76A97" w:rsidRPr="007B5096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Access to funds across all fund types (e.g. OEICs, Unit Trusts, ETFs, Investment Trusts, Offshore </w:t>
      </w:r>
      <w:proofErr w:type="spellStart"/>
      <w:r w:rsidRPr="007B5096">
        <w:rPr>
          <w:rFonts w:ascii="Century Gothic" w:hAnsi="Century Gothic" w:cs="Arial"/>
          <w:sz w:val="22"/>
          <w:szCs w:val="22"/>
        </w:rPr>
        <w:t>Recognised</w:t>
      </w:r>
      <w:proofErr w:type="spellEnd"/>
      <w:r w:rsidRPr="007B5096">
        <w:rPr>
          <w:rFonts w:ascii="Century Gothic" w:hAnsi="Century Gothic" w:cs="Arial"/>
          <w:sz w:val="22"/>
          <w:szCs w:val="22"/>
        </w:rPr>
        <w:t xml:space="preserve"> Funds)</w:t>
      </w:r>
    </w:p>
    <w:p w14:paraId="4B4ABAEC" w14:textId="390479D3" w:rsidR="00F76A97" w:rsidRPr="007B5096" w:rsidRDefault="00F422D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Ability to replicate </w:t>
      </w:r>
      <w:r w:rsidR="00F76A97" w:rsidRPr="007B5096">
        <w:rPr>
          <w:rFonts w:ascii="Century Gothic" w:hAnsi="Century Gothic" w:cs="Arial"/>
          <w:sz w:val="22"/>
          <w:szCs w:val="22"/>
        </w:rPr>
        <w:t>Portfolios across multiple tax wrappers.</w:t>
      </w:r>
    </w:p>
    <w:p w14:paraId="5D4E87C9" w14:textId="77777777" w:rsidR="00130B4F" w:rsidRDefault="00130B4F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Market Reputation</w:t>
      </w:r>
      <w:r w:rsidR="00F76A97" w:rsidRPr="007B5096">
        <w:rPr>
          <w:rFonts w:ascii="Century Gothic" w:hAnsi="Century Gothic" w:cs="Arial"/>
          <w:sz w:val="22"/>
          <w:szCs w:val="22"/>
        </w:rPr>
        <w:t xml:space="preserve"> </w:t>
      </w:r>
    </w:p>
    <w:p w14:paraId="0CF1C1EF" w14:textId="28BC0150" w:rsidR="00F76A97" w:rsidRPr="007B5096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Financial Strength and Profitability</w:t>
      </w:r>
    </w:p>
    <w:p w14:paraId="31A9AB44" w14:textId="2D03837F" w:rsidR="00F76A97" w:rsidRPr="007B5096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Links to </w:t>
      </w:r>
      <w:r w:rsidR="00F422D7" w:rsidRPr="007B5096">
        <w:rPr>
          <w:rFonts w:ascii="Century Gothic" w:hAnsi="Century Gothic" w:cs="Arial"/>
          <w:sz w:val="22"/>
          <w:szCs w:val="22"/>
        </w:rPr>
        <w:t>our</w:t>
      </w:r>
      <w:r w:rsidRPr="007B5096">
        <w:rPr>
          <w:rFonts w:ascii="Century Gothic" w:hAnsi="Century Gothic" w:cs="Arial"/>
          <w:sz w:val="22"/>
          <w:szCs w:val="22"/>
        </w:rPr>
        <w:t xml:space="preserve"> </w:t>
      </w:r>
      <w:r w:rsidR="0047221D" w:rsidRPr="007B5096">
        <w:rPr>
          <w:rFonts w:ascii="Century Gothic" w:hAnsi="Century Gothic" w:cs="Arial"/>
          <w:sz w:val="22"/>
          <w:szCs w:val="22"/>
        </w:rPr>
        <w:t>back-office</w:t>
      </w:r>
      <w:r w:rsidRPr="007B5096">
        <w:rPr>
          <w:rFonts w:ascii="Century Gothic" w:hAnsi="Century Gothic" w:cs="Arial"/>
          <w:sz w:val="22"/>
          <w:szCs w:val="22"/>
        </w:rPr>
        <w:t xml:space="preserve"> system </w:t>
      </w:r>
    </w:p>
    <w:p w14:paraId="551C2771" w14:textId="1F17041B" w:rsidR="00F76A97" w:rsidRPr="007B5096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lastRenderedPageBreak/>
        <w:t xml:space="preserve">Links to client website </w:t>
      </w:r>
      <w:r w:rsidR="00F422D7" w:rsidRPr="007B5096">
        <w:rPr>
          <w:rFonts w:ascii="Century Gothic" w:hAnsi="Century Gothic" w:cs="Arial"/>
          <w:sz w:val="22"/>
          <w:szCs w:val="22"/>
        </w:rPr>
        <w:t xml:space="preserve">portal (for example </w:t>
      </w:r>
      <w:proofErr w:type="spellStart"/>
      <w:r w:rsidR="00F422D7" w:rsidRPr="007B5096">
        <w:rPr>
          <w:rFonts w:ascii="Century Gothic" w:hAnsi="Century Gothic" w:cs="Arial"/>
          <w:sz w:val="22"/>
          <w:szCs w:val="22"/>
        </w:rPr>
        <w:t>Moneyweb</w:t>
      </w:r>
      <w:proofErr w:type="spellEnd"/>
      <w:r w:rsidR="00F422D7" w:rsidRPr="007B5096">
        <w:rPr>
          <w:rFonts w:ascii="Century Gothic" w:hAnsi="Century Gothic" w:cs="Arial"/>
          <w:sz w:val="22"/>
          <w:szCs w:val="22"/>
        </w:rPr>
        <w:t>)</w:t>
      </w:r>
      <w:r w:rsidRPr="007B5096">
        <w:rPr>
          <w:rFonts w:ascii="Century Gothic" w:hAnsi="Century Gothic" w:cs="Arial"/>
          <w:sz w:val="22"/>
          <w:szCs w:val="22"/>
        </w:rPr>
        <w:t xml:space="preserve"> </w:t>
      </w:r>
    </w:p>
    <w:p w14:paraId="6566DDA3" w14:textId="0E3093B2" w:rsidR="009E6FF8" w:rsidRPr="00E17999" w:rsidRDefault="00F76A97" w:rsidP="00203A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Ongoing support.</w:t>
      </w:r>
    </w:p>
    <w:p w14:paraId="58CAE5A2" w14:textId="77777777" w:rsidR="00FF73A6" w:rsidRDefault="00FF73A6" w:rsidP="00203A8E">
      <w:pPr>
        <w:spacing w:line="360" w:lineRule="auto"/>
        <w:jc w:val="both"/>
        <w:rPr>
          <w:rFonts w:ascii="Century Gothic" w:hAnsi="Century Gothic" w:cs="Arial"/>
        </w:rPr>
      </w:pPr>
    </w:p>
    <w:p w14:paraId="3E7D8044" w14:textId="3E6CFBE2" w:rsidR="00FF73A6" w:rsidRPr="00203A8E" w:rsidRDefault="00FF73A6" w:rsidP="00E17999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color w:val="2A948A"/>
        </w:rPr>
      </w:pPr>
      <w:r w:rsidRPr="00203A8E">
        <w:rPr>
          <w:rFonts w:ascii="Century Gothic" w:hAnsi="Century Gothic" w:cs="Arial"/>
          <w:b/>
          <w:color w:val="2A948A"/>
        </w:rPr>
        <w:t>Our core client cohort:</w:t>
      </w:r>
    </w:p>
    <w:p w14:paraId="58A6BA0A" w14:textId="77777777" w:rsidR="0047221D" w:rsidRDefault="0047221D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</w:p>
    <w:p w14:paraId="397AA17A" w14:textId="7AD857A1" w:rsidR="00FF73A6" w:rsidRPr="00E17999" w:rsidRDefault="00FF73A6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 xml:space="preserve">Our client cohort is largely represented </w:t>
      </w:r>
      <w:proofErr w:type="gramStart"/>
      <w:r w:rsidRPr="00E17999">
        <w:rPr>
          <w:rFonts w:ascii="Century Gothic" w:hAnsi="Century Gothic" w:cs="Arial"/>
          <w:sz w:val="22"/>
        </w:rPr>
        <w:t>by</w:t>
      </w:r>
      <w:proofErr w:type="gramEnd"/>
    </w:p>
    <w:p w14:paraId="4EC7C419" w14:textId="781AF980" w:rsidR="00FF73A6" w:rsidRPr="00E17999" w:rsidRDefault="00FF73A6" w:rsidP="0020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Private clients</w:t>
      </w:r>
    </w:p>
    <w:p w14:paraId="3DE29817" w14:textId="224CDC27" w:rsidR="00FF73A6" w:rsidRPr="00E17999" w:rsidRDefault="00FF73A6" w:rsidP="0020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Client family groups</w:t>
      </w:r>
    </w:p>
    <w:p w14:paraId="38F1761C" w14:textId="0356FA76" w:rsidR="00FF73A6" w:rsidRPr="00E17999" w:rsidRDefault="00FF73A6" w:rsidP="0020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Aged between 55 and 75</w:t>
      </w:r>
    </w:p>
    <w:p w14:paraId="3AD33026" w14:textId="02C567B7" w:rsidR="00FF73A6" w:rsidRPr="00E17999" w:rsidRDefault="00FF73A6" w:rsidP="0020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 xml:space="preserve">Tax wrappers comprising ISAs, OEICs, </w:t>
      </w:r>
      <w:proofErr w:type="gramStart"/>
      <w:r w:rsidRPr="00E17999">
        <w:rPr>
          <w:rFonts w:ascii="Century Gothic" w:hAnsi="Century Gothic" w:cs="Arial"/>
          <w:sz w:val="22"/>
        </w:rPr>
        <w:t>pensions</w:t>
      </w:r>
      <w:proofErr w:type="gramEnd"/>
    </w:p>
    <w:p w14:paraId="618E09C1" w14:textId="77777777" w:rsidR="00FF73A6" w:rsidRPr="00E17999" w:rsidRDefault="00FF73A6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</w:p>
    <w:p w14:paraId="7623C4DF" w14:textId="4852FAF9" w:rsidR="00FF73A6" w:rsidRPr="00E17999" w:rsidRDefault="001E2E5C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 xml:space="preserve">From time to time and depending on client needs </w:t>
      </w:r>
      <w:r w:rsidR="00801440" w:rsidRPr="00E17999">
        <w:rPr>
          <w:rFonts w:ascii="Century Gothic" w:hAnsi="Century Gothic" w:cs="Arial"/>
          <w:sz w:val="22"/>
        </w:rPr>
        <w:t xml:space="preserve">we will need other asset shapes and asset classes to be placed on our platform(s) of choice. </w:t>
      </w:r>
      <w:proofErr w:type="gramStart"/>
      <w:r w:rsidR="00801440" w:rsidRPr="00E17999">
        <w:rPr>
          <w:rFonts w:ascii="Century Gothic" w:hAnsi="Century Gothic" w:cs="Arial"/>
          <w:sz w:val="22"/>
        </w:rPr>
        <w:t>Typically</w:t>
      </w:r>
      <w:proofErr w:type="gramEnd"/>
      <w:r w:rsidR="00801440" w:rsidRPr="00E17999">
        <w:rPr>
          <w:rFonts w:ascii="Century Gothic" w:hAnsi="Century Gothic" w:cs="Arial"/>
          <w:sz w:val="22"/>
        </w:rPr>
        <w:t xml:space="preserve"> these could include</w:t>
      </w:r>
    </w:p>
    <w:p w14:paraId="1CD23BF6" w14:textId="77777777" w:rsidR="00801440" w:rsidRPr="00E17999" w:rsidRDefault="00801440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</w:p>
    <w:p w14:paraId="3272FB8C" w14:textId="40549DA4" w:rsidR="00801440" w:rsidRPr="00E17999" w:rsidRDefault="00801440" w:rsidP="00203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Absolute return funds</w:t>
      </w:r>
    </w:p>
    <w:p w14:paraId="00290294" w14:textId="51EB3535" w:rsidR="00801440" w:rsidRPr="00E17999" w:rsidRDefault="00E17999" w:rsidP="00203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Investment trusts</w:t>
      </w:r>
    </w:p>
    <w:p w14:paraId="20EE8171" w14:textId="0F875522" w:rsidR="00801440" w:rsidRPr="00E17999" w:rsidRDefault="00801440" w:rsidP="00203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Directs (equities)</w:t>
      </w:r>
    </w:p>
    <w:p w14:paraId="4765148F" w14:textId="77777777" w:rsidR="00E17999" w:rsidRPr="00E17999" w:rsidRDefault="00E17999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</w:p>
    <w:p w14:paraId="7CAC945F" w14:textId="03C4EC0A" w:rsidR="00E17999" w:rsidRPr="00E17999" w:rsidRDefault="00E17999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We may also use off and onshore bonds with assets residing on our platform(s) if appropriate.</w:t>
      </w:r>
    </w:p>
    <w:p w14:paraId="0FBF9945" w14:textId="60460CF4" w:rsidR="00F422D7" w:rsidRPr="00203A8E" w:rsidRDefault="00F422D7" w:rsidP="00E17999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 xml:space="preserve">Sift 1 – access to our required </w:t>
      </w:r>
      <w:proofErr w:type="gramStart"/>
      <w:r w:rsidRPr="00203A8E">
        <w:rPr>
          <w:rFonts w:ascii="Century Gothic" w:hAnsi="Century Gothic"/>
          <w:color w:val="2A948A"/>
          <w:sz w:val="24"/>
          <w:szCs w:val="24"/>
        </w:rPr>
        <w:t>funds</w:t>
      </w:r>
      <w:proofErr w:type="gramEnd"/>
    </w:p>
    <w:p w14:paraId="0D545E20" w14:textId="77777777" w:rsidR="0047221D" w:rsidRDefault="0047221D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4046027F" w14:textId="0F3C09E5" w:rsidR="009E6FF8" w:rsidRDefault="00F422D7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Given our</w:t>
      </w:r>
      <w:r w:rsidR="009E6FF8" w:rsidRPr="007B5096">
        <w:rPr>
          <w:rFonts w:ascii="Century Gothic" w:hAnsi="Century Gothic" w:cs="Arial"/>
          <w:sz w:val="22"/>
          <w:szCs w:val="22"/>
        </w:rPr>
        <w:t xml:space="preserve"> independent status </w:t>
      </w:r>
      <w:proofErr w:type="spellStart"/>
      <w:r w:rsidR="009E6FF8" w:rsidRPr="007B5096">
        <w:rPr>
          <w:rFonts w:ascii="Century Gothic" w:hAnsi="Century Gothic" w:cs="Arial"/>
          <w:sz w:val="22"/>
          <w:szCs w:val="22"/>
        </w:rPr>
        <w:t>its</w:t>
      </w:r>
      <w:proofErr w:type="spellEnd"/>
      <w:r w:rsidR="009E6FF8" w:rsidRPr="007B5096">
        <w:rPr>
          <w:rFonts w:ascii="Century Gothic" w:hAnsi="Century Gothic" w:cs="Arial"/>
          <w:sz w:val="22"/>
          <w:szCs w:val="22"/>
        </w:rPr>
        <w:t xml:space="preserve"> important to have a provider that has access to a wide range of fund types so that we </w:t>
      </w:r>
      <w:proofErr w:type="gramStart"/>
      <w:r w:rsidR="009E6FF8" w:rsidRPr="007B5096">
        <w:rPr>
          <w:rFonts w:ascii="Century Gothic" w:hAnsi="Century Gothic" w:cs="Arial"/>
          <w:sz w:val="22"/>
          <w:szCs w:val="22"/>
        </w:rPr>
        <w:t>have the ability to</w:t>
      </w:r>
      <w:proofErr w:type="gramEnd"/>
      <w:r w:rsidR="009E6FF8" w:rsidRPr="007B5096">
        <w:rPr>
          <w:rFonts w:ascii="Century Gothic" w:hAnsi="Century Gothic" w:cs="Arial"/>
          <w:sz w:val="22"/>
          <w:szCs w:val="22"/>
        </w:rPr>
        <w:t xml:space="preserve"> includ</w:t>
      </w:r>
      <w:r w:rsidRPr="007B5096">
        <w:rPr>
          <w:rFonts w:ascii="Century Gothic" w:hAnsi="Century Gothic" w:cs="Arial"/>
          <w:sz w:val="22"/>
          <w:szCs w:val="22"/>
        </w:rPr>
        <w:t xml:space="preserve">e any fund within our </w:t>
      </w:r>
      <w:r w:rsidR="009E6FF8" w:rsidRPr="007B5096">
        <w:rPr>
          <w:rFonts w:ascii="Century Gothic" w:hAnsi="Century Gothic" w:cs="Arial"/>
          <w:sz w:val="22"/>
          <w:szCs w:val="22"/>
        </w:rPr>
        <w:t>Portfolios without the need to switch providers.</w:t>
      </w:r>
    </w:p>
    <w:p w14:paraId="25ACBCE8" w14:textId="77777777" w:rsidR="00536FED" w:rsidRDefault="00536FED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58DA9109" w14:textId="275B54BF" w:rsidR="009E6FF8" w:rsidRPr="007B5096" w:rsidRDefault="00536FED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examined the market (through Adviser Asset) to ensure our chosen funds would be available on the final platform of choice. We did this because we believe fund choice is a key driver in client investment outcomes. As a result of this </w:t>
      </w:r>
      <w:proofErr w:type="gramStart"/>
      <w:r>
        <w:rPr>
          <w:rFonts w:ascii="Century Gothic" w:hAnsi="Century Gothic" w:cs="Arial"/>
          <w:sz w:val="22"/>
          <w:szCs w:val="22"/>
        </w:rPr>
        <w:t>test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we identified that platforms 1 and 2 would not be able to accommodate us.</w:t>
      </w:r>
    </w:p>
    <w:p w14:paraId="4EDE6A40" w14:textId="77777777" w:rsidR="00536FED" w:rsidRPr="007B5096" w:rsidRDefault="00536FED" w:rsidP="00E96167">
      <w:pPr>
        <w:jc w:val="both"/>
        <w:rPr>
          <w:rFonts w:ascii="Century Gothic" w:hAnsi="Century Gothic" w:cs="Arial"/>
        </w:rPr>
      </w:pPr>
    </w:p>
    <w:p w14:paraId="04166DD7" w14:textId="75CEFE46" w:rsidR="00F422D7" w:rsidRPr="00203A8E" w:rsidRDefault="00F422D7" w:rsidP="00E17999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 xml:space="preserve">Sift 2 – profitability, default risk, back office, client portal </w:t>
      </w:r>
      <w:proofErr w:type="gramStart"/>
      <w:r w:rsidRPr="00203A8E">
        <w:rPr>
          <w:rFonts w:ascii="Century Gothic" w:hAnsi="Century Gothic"/>
          <w:color w:val="2A948A"/>
          <w:sz w:val="24"/>
          <w:szCs w:val="24"/>
        </w:rPr>
        <w:t>links</w:t>
      </w:r>
      <w:proofErr w:type="gramEnd"/>
    </w:p>
    <w:p w14:paraId="6E118F49" w14:textId="77777777" w:rsidR="0047221D" w:rsidRDefault="0047221D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3E90B041" w14:textId="78ABB37C" w:rsidR="008D6FE0" w:rsidRDefault="008D6FE0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Following sift 1 the list of platforms we could potentially use is set out below.</w:t>
      </w:r>
    </w:p>
    <w:p w14:paraId="0E97BB32" w14:textId="77777777" w:rsidR="008D6FE0" w:rsidRDefault="008D6FE0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7F9CC715" w14:textId="0FA56F8B" w:rsidR="003F7DBA" w:rsidRPr="00203A8E" w:rsidRDefault="009E6FF8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The evaluation report provides data on the </w:t>
      </w:r>
      <w:r w:rsidR="000B5A62" w:rsidRPr="003F7DBA">
        <w:rPr>
          <w:rFonts w:ascii="Century Gothic" w:hAnsi="Century Gothic" w:cs="Arial"/>
          <w:sz w:val="22"/>
          <w:szCs w:val="22"/>
        </w:rPr>
        <w:t>profitability</w:t>
      </w:r>
      <w:r w:rsidRPr="003F7DBA">
        <w:rPr>
          <w:rFonts w:ascii="Century Gothic" w:hAnsi="Century Gothic" w:cs="Arial"/>
          <w:sz w:val="22"/>
          <w:szCs w:val="22"/>
        </w:rPr>
        <w:t xml:space="preserve"> and financial strength of the provider but doesn’t allow us to </w:t>
      </w:r>
      <w:r w:rsidR="000B5A62" w:rsidRPr="003F7DBA">
        <w:rPr>
          <w:rFonts w:ascii="Century Gothic" w:hAnsi="Century Gothic" w:cs="Arial"/>
          <w:sz w:val="22"/>
          <w:szCs w:val="22"/>
        </w:rPr>
        <w:t xml:space="preserve">add these as criteria for selection and we have </w:t>
      </w:r>
      <w:r w:rsidR="000B5A62" w:rsidRPr="003F7DBA">
        <w:rPr>
          <w:rFonts w:ascii="Century Gothic" w:hAnsi="Century Gothic" w:cs="Arial"/>
          <w:sz w:val="22"/>
          <w:szCs w:val="22"/>
        </w:rPr>
        <w:lastRenderedPageBreak/>
        <w:t xml:space="preserve">therefore produced the table below. In </w:t>
      </w:r>
      <w:proofErr w:type="gramStart"/>
      <w:r w:rsidR="000B5A62" w:rsidRPr="003F7DBA">
        <w:rPr>
          <w:rFonts w:ascii="Century Gothic" w:hAnsi="Century Gothic" w:cs="Arial"/>
          <w:sz w:val="22"/>
          <w:szCs w:val="22"/>
        </w:rPr>
        <w:t>addition</w:t>
      </w:r>
      <w:proofErr w:type="gramEnd"/>
      <w:r w:rsidR="000B5A62" w:rsidRPr="003F7DBA">
        <w:rPr>
          <w:rFonts w:ascii="Century Gothic" w:hAnsi="Century Gothic" w:cs="Arial"/>
          <w:sz w:val="22"/>
          <w:szCs w:val="22"/>
        </w:rPr>
        <w:t xml:space="preserve"> we have included our additional criteria for links to both our </w:t>
      </w:r>
      <w:r w:rsidR="00B47768" w:rsidRPr="003F7DBA">
        <w:rPr>
          <w:rFonts w:ascii="Century Gothic" w:hAnsi="Century Gothic" w:cs="Arial"/>
          <w:sz w:val="22"/>
          <w:szCs w:val="22"/>
        </w:rPr>
        <w:t>back office</w:t>
      </w:r>
      <w:r w:rsidR="00F422D7" w:rsidRPr="003F7DBA">
        <w:rPr>
          <w:rFonts w:ascii="Century Gothic" w:hAnsi="Century Gothic" w:cs="Arial"/>
          <w:sz w:val="22"/>
          <w:szCs w:val="22"/>
        </w:rPr>
        <w:t xml:space="preserve"> and </w:t>
      </w:r>
      <w:r w:rsidR="00C61629">
        <w:rPr>
          <w:rFonts w:ascii="Century Gothic" w:hAnsi="Century Gothic" w:cs="Arial"/>
          <w:sz w:val="22"/>
          <w:szCs w:val="22"/>
        </w:rPr>
        <w:t xml:space="preserve">a </w:t>
      </w:r>
      <w:r w:rsidR="00F422D7" w:rsidRPr="003F7DBA">
        <w:rPr>
          <w:rFonts w:ascii="Century Gothic" w:hAnsi="Century Gothic" w:cs="Arial"/>
          <w:sz w:val="22"/>
          <w:szCs w:val="22"/>
        </w:rPr>
        <w:t xml:space="preserve">client portal </w:t>
      </w:r>
    </w:p>
    <w:p w14:paraId="3C8E69DD" w14:textId="77777777" w:rsidR="003F7DBA" w:rsidRPr="007B5096" w:rsidRDefault="003F7DBA" w:rsidP="009E6FF8">
      <w:pPr>
        <w:rPr>
          <w:rFonts w:ascii="Century Gothic" w:hAnsi="Century Gothic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0"/>
        <w:gridCol w:w="1969"/>
        <w:gridCol w:w="1589"/>
        <w:gridCol w:w="1352"/>
        <w:gridCol w:w="1992"/>
      </w:tblGrid>
      <w:tr w:rsidR="00A95FD3" w:rsidRPr="007B5096" w14:paraId="08DF9E2E" w14:textId="77777777" w:rsidTr="00A95FD3">
        <w:trPr>
          <w:trHeight w:val="3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C1B" w14:textId="77777777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BEEF13C" w14:textId="05C3F799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A95427" w14:textId="49FE547D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30E2F56" w14:textId="3CFC2A2F" w:rsidR="00A95FD3" w:rsidRPr="007B5096" w:rsidRDefault="00A95FD3" w:rsidP="00F422D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3AE7E8" w14:textId="30EB20B2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4</w:t>
            </w:r>
          </w:p>
        </w:tc>
      </w:tr>
      <w:tr w:rsidR="00F422D7" w:rsidRPr="007B5096" w14:paraId="005E6C2B" w14:textId="77777777" w:rsidTr="003F7DBA">
        <w:trPr>
          <w:trHeight w:val="60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DE3CB1C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Platform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6F3CD1D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Trading Profitable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2108024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AKG Rating B&gt;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35C5056" w14:textId="1635F2BA" w:rsidR="00F422D7" w:rsidRPr="007B5096" w:rsidRDefault="00F422D7" w:rsidP="00F422D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Links to back office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782CF7B" w14:textId="7D671EA1" w:rsidR="00F422D7" w:rsidRPr="007B5096" w:rsidRDefault="00F422D7" w:rsidP="00C6162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 xml:space="preserve">Links to </w:t>
            </w:r>
            <w:r w:rsidR="00C61629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a money hub</w:t>
            </w:r>
          </w:p>
        </w:tc>
      </w:tr>
      <w:tr w:rsidR="00F422D7" w:rsidRPr="003F7DBA" w14:paraId="1FE2B703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FDD" w14:textId="0687F2F8" w:rsidR="00F422D7" w:rsidRPr="003F7DBA" w:rsidRDefault="00E17999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CCAB80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DC2A0A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8A8F3F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A63F9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E68F759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D2E" w14:textId="6FCE19B3" w:rsidR="00F422D7" w:rsidRPr="003F7DBA" w:rsidRDefault="00E17999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67954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D791C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DEF34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2786B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68AA94D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063" w14:textId="456F3820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DDDB4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321E2B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AEDC7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4D5A3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2076102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717" w14:textId="7A45B227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1B8835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4544B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6D970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479AB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6028E360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D3D" w14:textId="01C435A4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9CE9E2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C5834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0B3B1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7E7BC2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0ACCB7A1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C38" w14:textId="479A868C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523AD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A904C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5FC1C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992FD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7BD73C64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645" w14:textId="434D5D26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6DBA6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94EC7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15908B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57229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3B25AAE8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F6D" w14:textId="08306388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64F42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1B557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D3473E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4E692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1679B11C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BAB" w14:textId="664D8B98" w:rsidR="00F422D7" w:rsidRPr="003F7DBA" w:rsidRDefault="00955148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  <w:r w:rsidR="00A95FD3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D59A3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8AFC1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Not Rated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63954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6625C3F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6E0437A2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8F1" w14:textId="0CD43E2C" w:rsidR="00F422D7" w:rsidRPr="003F7DBA" w:rsidRDefault="00955148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  <w:r w:rsidR="00A95FD3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71511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419E0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B3FD1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8011EB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</w:tbl>
    <w:p w14:paraId="32D723EF" w14:textId="77777777" w:rsidR="009E6FF8" w:rsidRPr="007B5096" w:rsidRDefault="009E6FF8" w:rsidP="00203A8E">
      <w:pPr>
        <w:spacing w:line="360" w:lineRule="auto"/>
        <w:rPr>
          <w:rFonts w:ascii="Century Gothic" w:hAnsi="Century Gothic" w:cs="Arial"/>
        </w:rPr>
      </w:pPr>
    </w:p>
    <w:p w14:paraId="072783FD" w14:textId="1033ABDC" w:rsidR="00A95FD3" w:rsidRPr="00A95FD3" w:rsidRDefault="00A95FD3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  <w:r w:rsidRPr="00A95FD3">
        <w:rPr>
          <w:rFonts w:ascii="Century Gothic" w:hAnsi="Century Gothic" w:cs="Arial"/>
          <w:sz w:val="22"/>
        </w:rPr>
        <w:t xml:space="preserve">We only consider column 4 a must have criteria because of the relative importance of that facilitation to our </w:t>
      </w:r>
      <w:r w:rsidR="0047221D" w:rsidRPr="00A95FD3">
        <w:rPr>
          <w:rFonts w:ascii="Century Gothic" w:hAnsi="Century Gothic" w:cs="Arial"/>
          <w:sz w:val="22"/>
        </w:rPr>
        <w:t>long-term</w:t>
      </w:r>
      <w:r w:rsidRPr="00A95FD3">
        <w:rPr>
          <w:rFonts w:ascii="Century Gothic" w:hAnsi="Century Gothic" w:cs="Arial"/>
          <w:sz w:val="22"/>
        </w:rPr>
        <w:t xml:space="preserve"> client access experience. This initially we did not exclude platform 7.</w:t>
      </w:r>
    </w:p>
    <w:p w14:paraId="0555F97A" w14:textId="77777777" w:rsidR="00A95FD3" w:rsidRPr="00A95FD3" w:rsidRDefault="00A95FD3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</w:p>
    <w:p w14:paraId="4E50834E" w14:textId="6D11974F" w:rsidR="00A95FD3" w:rsidRPr="00A95FD3" w:rsidRDefault="00A95FD3" w:rsidP="00203A8E">
      <w:pPr>
        <w:spacing w:line="360" w:lineRule="auto"/>
        <w:jc w:val="both"/>
        <w:rPr>
          <w:rFonts w:ascii="Century Gothic" w:hAnsi="Century Gothic" w:cs="Arial"/>
          <w:sz w:val="22"/>
        </w:rPr>
      </w:pPr>
      <w:r w:rsidRPr="00A95FD3">
        <w:rPr>
          <w:rFonts w:ascii="Century Gothic" w:hAnsi="Century Gothic" w:cs="Arial"/>
          <w:sz w:val="22"/>
        </w:rPr>
        <w:t>In addition, we did not consider profitability essential if accompanied by a strong AKG rating, as the latter implies a strong balance sheet.</w:t>
      </w:r>
    </w:p>
    <w:p w14:paraId="4067E40A" w14:textId="77777777" w:rsidR="00A95FD3" w:rsidRDefault="00A95FD3" w:rsidP="00203A8E">
      <w:pPr>
        <w:spacing w:line="360" w:lineRule="auto"/>
        <w:jc w:val="both"/>
        <w:rPr>
          <w:rFonts w:ascii="Century Gothic" w:hAnsi="Century Gothic" w:cs="Arial"/>
        </w:rPr>
      </w:pPr>
    </w:p>
    <w:p w14:paraId="4E344B44" w14:textId="77777777" w:rsidR="00285D86" w:rsidRDefault="00A95FD3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Nevertheless, </w:t>
      </w:r>
      <w:r w:rsidR="00285D86">
        <w:rPr>
          <w:rFonts w:ascii="Century Gothic" w:hAnsi="Century Gothic" w:cs="Arial"/>
          <w:sz w:val="22"/>
          <w:szCs w:val="22"/>
        </w:rPr>
        <w:t>given that platforms 3 through 6 fulfilled all our criteria, we felt we were able to exclude platforms 7 through 12.</w:t>
      </w:r>
    </w:p>
    <w:p w14:paraId="545077D7" w14:textId="77777777" w:rsidR="00285D86" w:rsidRDefault="00285D86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107E57B1" w14:textId="375897AF" w:rsidR="000B5A62" w:rsidRPr="003F7DBA" w:rsidRDefault="00BC2BD1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When </w:t>
      </w:r>
      <w:proofErr w:type="gramStart"/>
      <w:r w:rsidRPr="003F7DBA">
        <w:rPr>
          <w:rFonts w:ascii="Century Gothic" w:hAnsi="Century Gothic" w:cs="Arial"/>
          <w:sz w:val="22"/>
          <w:szCs w:val="22"/>
        </w:rPr>
        <w:t>above</w:t>
      </w:r>
      <w:proofErr w:type="gramEnd"/>
      <w:r w:rsidRPr="003F7DBA">
        <w:rPr>
          <w:rFonts w:ascii="Century Gothic" w:hAnsi="Century Gothic" w:cs="Arial"/>
          <w:sz w:val="22"/>
          <w:szCs w:val="22"/>
        </w:rPr>
        <w:t xml:space="preserve"> data is added to the statement of requirements as outlined in section 4 of the Platform Evaluation (pages 8 – 11) </w:t>
      </w:r>
      <w:r w:rsidR="00504239" w:rsidRPr="003F7DBA">
        <w:rPr>
          <w:rFonts w:ascii="Century Gothic" w:hAnsi="Century Gothic" w:cs="Arial"/>
          <w:sz w:val="22"/>
          <w:szCs w:val="22"/>
        </w:rPr>
        <w:t>it produced a shortlist of two providers</w:t>
      </w:r>
      <w:r w:rsidR="00285D86">
        <w:rPr>
          <w:rFonts w:ascii="Century Gothic" w:hAnsi="Century Gothic" w:cs="Arial"/>
          <w:sz w:val="22"/>
          <w:szCs w:val="22"/>
        </w:rPr>
        <w:t>,</w:t>
      </w:r>
      <w:r w:rsidR="00504239" w:rsidRPr="003F7DBA">
        <w:rPr>
          <w:rFonts w:ascii="Century Gothic" w:hAnsi="Century Gothic" w:cs="Arial"/>
          <w:sz w:val="22"/>
          <w:szCs w:val="22"/>
        </w:rPr>
        <w:t xml:space="preserve"> </w:t>
      </w:r>
      <w:r w:rsidR="00285D86">
        <w:rPr>
          <w:rFonts w:ascii="Century Gothic" w:hAnsi="Century Gothic" w:cs="Arial"/>
          <w:sz w:val="22"/>
          <w:szCs w:val="22"/>
        </w:rPr>
        <w:t>3</w:t>
      </w:r>
      <w:r w:rsidR="00504239" w:rsidRPr="003F7DBA">
        <w:rPr>
          <w:rFonts w:ascii="Century Gothic" w:hAnsi="Century Gothic" w:cs="Arial"/>
          <w:sz w:val="22"/>
          <w:szCs w:val="22"/>
        </w:rPr>
        <w:t xml:space="preserve"> &amp; </w:t>
      </w:r>
      <w:r w:rsidR="00285D86">
        <w:rPr>
          <w:rFonts w:ascii="Century Gothic" w:hAnsi="Century Gothic" w:cs="Arial"/>
          <w:sz w:val="22"/>
          <w:szCs w:val="22"/>
        </w:rPr>
        <w:t>4</w:t>
      </w:r>
      <w:r w:rsidR="00504239" w:rsidRPr="003F7DBA">
        <w:rPr>
          <w:rFonts w:ascii="Century Gothic" w:hAnsi="Century Gothic" w:cs="Arial"/>
          <w:sz w:val="22"/>
          <w:szCs w:val="22"/>
        </w:rPr>
        <w:t>.</w:t>
      </w:r>
    </w:p>
    <w:p w14:paraId="59F6EE41" w14:textId="77777777" w:rsidR="00504239" w:rsidRPr="00203A8E" w:rsidRDefault="00504239" w:rsidP="009E6FF8">
      <w:pPr>
        <w:rPr>
          <w:rFonts w:ascii="Century Gothic" w:hAnsi="Century Gothic" w:cs="Arial"/>
        </w:rPr>
      </w:pPr>
    </w:p>
    <w:p w14:paraId="711F12FF" w14:textId="5226CCF5" w:rsidR="00504239" w:rsidRPr="00203A8E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 xml:space="preserve">Sift 3 </w:t>
      </w:r>
      <w:r w:rsidR="0047221D" w:rsidRPr="00203A8E">
        <w:rPr>
          <w:rFonts w:ascii="Century Gothic" w:hAnsi="Century Gothic"/>
          <w:color w:val="2A948A"/>
          <w:sz w:val="24"/>
          <w:szCs w:val="24"/>
        </w:rPr>
        <w:t>–</w:t>
      </w:r>
      <w:r w:rsidRPr="00203A8E">
        <w:rPr>
          <w:rFonts w:ascii="Century Gothic" w:hAnsi="Century Gothic"/>
          <w:color w:val="2A948A"/>
          <w:sz w:val="24"/>
          <w:szCs w:val="24"/>
        </w:rPr>
        <w:t xml:space="preserve"> </w:t>
      </w:r>
      <w:r w:rsidR="00E82571" w:rsidRPr="00203A8E">
        <w:rPr>
          <w:rFonts w:ascii="Century Gothic" w:hAnsi="Century Gothic"/>
          <w:color w:val="2A948A"/>
          <w:sz w:val="24"/>
          <w:szCs w:val="24"/>
        </w:rPr>
        <w:t>Client Segmentation:</w:t>
      </w:r>
    </w:p>
    <w:p w14:paraId="34C01E69" w14:textId="77777777" w:rsidR="0047221D" w:rsidRDefault="0047221D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420B5CDC" w14:textId="2954C96D" w:rsidR="00E82571" w:rsidRPr="003F7DBA" w:rsidRDefault="00B47768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Our </w:t>
      </w:r>
      <w:r w:rsidR="00E82571" w:rsidRPr="003F7DBA">
        <w:rPr>
          <w:rFonts w:ascii="Century Gothic" w:hAnsi="Century Gothic" w:cs="Arial"/>
          <w:sz w:val="22"/>
          <w:szCs w:val="22"/>
        </w:rPr>
        <w:t>clients have investable assets rangi</w:t>
      </w:r>
      <w:r w:rsidR="00285D86">
        <w:rPr>
          <w:rFonts w:ascii="Century Gothic" w:hAnsi="Century Gothic" w:cs="Arial"/>
          <w:sz w:val="22"/>
          <w:szCs w:val="22"/>
        </w:rPr>
        <w:t>ng from less than £100,000 to £1</w:t>
      </w:r>
      <w:r w:rsidR="00E82571" w:rsidRPr="003F7DBA">
        <w:rPr>
          <w:rFonts w:ascii="Century Gothic" w:hAnsi="Century Gothic" w:cs="Arial"/>
          <w:sz w:val="22"/>
          <w:szCs w:val="22"/>
        </w:rPr>
        <w:t xml:space="preserve">million +. We have therefore considered whether there is any cost benefit to </w:t>
      </w:r>
      <w:proofErr w:type="spellStart"/>
      <w:r w:rsidR="00E82571" w:rsidRPr="003F7DBA">
        <w:rPr>
          <w:rFonts w:ascii="Century Gothic" w:hAnsi="Century Gothic" w:cs="Arial"/>
          <w:sz w:val="22"/>
          <w:szCs w:val="22"/>
        </w:rPr>
        <w:t>utilise</w:t>
      </w:r>
      <w:proofErr w:type="spellEnd"/>
      <w:r w:rsidR="00E82571" w:rsidRPr="003F7DBA">
        <w:rPr>
          <w:rFonts w:ascii="Century Gothic" w:hAnsi="Century Gothic" w:cs="Arial"/>
          <w:sz w:val="22"/>
          <w:szCs w:val="22"/>
        </w:rPr>
        <w:t xml:space="preserve"> more than</w:t>
      </w:r>
      <w:r w:rsidRPr="003F7DBA">
        <w:rPr>
          <w:rFonts w:ascii="Century Gothic" w:hAnsi="Century Gothic" w:cs="Arial"/>
          <w:sz w:val="22"/>
          <w:szCs w:val="22"/>
        </w:rPr>
        <w:t xml:space="preserve"> one provider for our </w:t>
      </w:r>
      <w:r w:rsidR="00E82571" w:rsidRPr="003F7DBA">
        <w:rPr>
          <w:rFonts w:ascii="Century Gothic" w:hAnsi="Century Gothic" w:cs="Arial"/>
          <w:sz w:val="22"/>
          <w:szCs w:val="22"/>
        </w:rPr>
        <w:t>Portfolio Service.</w:t>
      </w:r>
    </w:p>
    <w:p w14:paraId="48F64DDF" w14:textId="77777777" w:rsidR="00E82571" w:rsidRPr="003F7DBA" w:rsidRDefault="00E82571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2C1637B5" w14:textId="77777777" w:rsidR="00E82571" w:rsidRPr="003F7DBA" w:rsidRDefault="00E82571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>Current spread of clients by portfolio size:</w:t>
      </w:r>
    </w:p>
    <w:p w14:paraId="6B63F078" w14:textId="77777777" w:rsidR="00E82571" w:rsidRPr="003F7DBA" w:rsidRDefault="00E82571" w:rsidP="009E6FF8">
      <w:pPr>
        <w:rPr>
          <w:rFonts w:ascii="Century Gothic" w:hAnsi="Century Gothic" w:cs="Arial"/>
          <w:sz w:val="22"/>
          <w:szCs w:val="22"/>
        </w:rPr>
      </w:pPr>
    </w:p>
    <w:tbl>
      <w:tblPr>
        <w:tblW w:w="4180" w:type="dxa"/>
        <w:jc w:val="center"/>
        <w:tblLook w:val="04A0" w:firstRow="1" w:lastRow="0" w:firstColumn="1" w:lastColumn="0" w:noHBand="0" w:noVBand="1"/>
      </w:tblPr>
      <w:tblGrid>
        <w:gridCol w:w="2940"/>
        <w:gridCol w:w="1240"/>
      </w:tblGrid>
      <w:tr w:rsidR="00E83990" w:rsidRPr="003F7DBA" w14:paraId="0A1D675E" w14:textId="77777777" w:rsidTr="003F7DBA">
        <w:trPr>
          <w:trHeight w:val="60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40D2400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  <w:t>Funds Under Management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72B104F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  <w:t>Number of Clients</w:t>
            </w:r>
          </w:p>
        </w:tc>
      </w:tr>
      <w:tr w:rsidR="00E83990" w:rsidRPr="003F7DBA" w14:paraId="2AC14A2B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2B43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lastRenderedPageBreak/>
              <w:t>&lt;£100K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FF6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28</w:t>
            </w:r>
          </w:p>
        </w:tc>
      </w:tr>
      <w:tr w:rsidR="00E83990" w:rsidRPr="003F7DBA" w14:paraId="559A81D3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96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£100k - £200K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7C33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75</w:t>
            </w:r>
          </w:p>
        </w:tc>
      </w:tr>
      <w:tr w:rsidR="00E83990" w:rsidRPr="003F7DBA" w14:paraId="39C9A852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589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£200K - £300K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F25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51</w:t>
            </w:r>
          </w:p>
        </w:tc>
      </w:tr>
      <w:tr w:rsidR="00E83990" w:rsidRPr="003F7DBA" w14:paraId="13EF59D2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F6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£300K - £500K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AB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47</w:t>
            </w:r>
          </w:p>
        </w:tc>
      </w:tr>
      <w:tr w:rsidR="00E83990" w:rsidRPr="003F7DBA" w14:paraId="6B64A660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7E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£500K - £1m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497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24</w:t>
            </w:r>
          </w:p>
        </w:tc>
      </w:tr>
      <w:tr w:rsidR="00E83990" w:rsidRPr="003F7DBA" w14:paraId="7E41CE70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2B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£1m 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6D7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</w:tbl>
    <w:p w14:paraId="485DDC45" w14:textId="77777777" w:rsidR="00124882" w:rsidRDefault="00124882" w:rsidP="009E6FF8">
      <w:pPr>
        <w:rPr>
          <w:rFonts w:ascii="Century Gothic" w:hAnsi="Century Gothic" w:cs="Arial"/>
          <w:sz w:val="22"/>
          <w:szCs w:val="22"/>
        </w:rPr>
      </w:pPr>
    </w:p>
    <w:p w14:paraId="1F4E9B34" w14:textId="25A4D95B" w:rsidR="004D3BD1" w:rsidRPr="003F7DBA" w:rsidRDefault="004D3BD1" w:rsidP="009E6FF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used this data to conduct our final sift.</w:t>
      </w:r>
    </w:p>
    <w:p w14:paraId="223C0017" w14:textId="77777777" w:rsidR="00124882" w:rsidRPr="007B5096" w:rsidRDefault="00124882" w:rsidP="009E6FF8">
      <w:pPr>
        <w:rPr>
          <w:rFonts w:ascii="Century Gothic" w:hAnsi="Century Gothic" w:cs="Arial"/>
        </w:rPr>
      </w:pPr>
    </w:p>
    <w:p w14:paraId="47D37533" w14:textId="0FC8A42A" w:rsidR="00E82571" w:rsidRPr="00203A8E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 xml:space="preserve">Sift 4 - </w:t>
      </w:r>
      <w:r w:rsidR="00E82571" w:rsidRPr="00203A8E">
        <w:rPr>
          <w:rFonts w:ascii="Century Gothic" w:hAnsi="Century Gothic"/>
          <w:color w:val="2A948A"/>
          <w:sz w:val="24"/>
          <w:szCs w:val="24"/>
        </w:rPr>
        <w:t>Platform Charges</w:t>
      </w:r>
      <w:r w:rsidR="004D3BD1" w:rsidRPr="00203A8E">
        <w:rPr>
          <w:rFonts w:ascii="Century Gothic" w:hAnsi="Century Gothic"/>
          <w:color w:val="2A948A"/>
          <w:sz w:val="24"/>
          <w:szCs w:val="24"/>
        </w:rPr>
        <w:t>:</w:t>
      </w:r>
    </w:p>
    <w:p w14:paraId="1643F182" w14:textId="77777777" w:rsidR="00E82571" w:rsidRPr="007B5096" w:rsidRDefault="00E82571" w:rsidP="009E6FF8">
      <w:pPr>
        <w:rPr>
          <w:rFonts w:ascii="Century Gothic" w:hAnsi="Century Gothic" w:cs="Arial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2240"/>
        <w:gridCol w:w="1225"/>
        <w:gridCol w:w="1225"/>
        <w:gridCol w:w="1225"/>
        <w:gridCol w:w="1225"/>
        <w:gridCol w:w="1426"/>
      </w:tblGrid>
      <w:tr w:rsidR="00E82571" w:rsidRPr="003F7DBA" w14:paraId="27FE2B58" w14:textId="77777777" w:rsidTr="00440F4F">
        <w:trPr>
          <w:trHeight w:val="66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4794C2BF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30FFEDE8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£100,000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6556B2EC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£200,000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4A1AF92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£300,000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07D60D57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£500,000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39CA7BDA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£1,000,000</w:t>
            </w:r>
          </w:p>
        </w:tc>
      </w:tr>
      <w:tr w:rsidR="00E82571" w:rsidRPr="003F7DBA" w14:paraId="063EDE11" w14:textId="77777777" w:rsidTr="00440F4F">
        <w:trPr>
          <w:trHeight w:val="6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DF1" w14:textId="0F02CEE2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Platform </w:t>
            </w:r>
            <w:r w:rsidR="004D3BD1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3 </w:t>
            </w: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19F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0.429%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042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23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C30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B36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0.274%</w:t>
            </w:r>
          </w:p>
        </w:tc>
      </w:tr>
      <w:tr w:rsidR="00E82571" w:rsidRPr="003F7DBA" w14:paraId="30A7262C" w14:textId="77777777" w:rsidTr="00440F4F">
        <w:trPr>
          <w:trHeight w:val="6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8A" w14:textId="718CEE0E" w:rsidR="00E82571" w:rsidRPr="003F7DBA" w:rsidRDefault="00DA7D4D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Platform</w:t>
            </w:r>
            <w:r w:rsidR="00E82571"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4D3BD1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4 </w:t>
            </w:r>
            <w:r w:rsidR="00E82571"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DE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8D1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AD8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744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CDA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0.30%</w:t>
            </w:r>
          </w:p>
        </w:tc>
      </w:tr>
    </w:tbl>
    <w:p w14:paraId="17702AB2" w14:textId="2839F2EF" w:rsidR="00E82571" w:rsidRPr="007B5096" w:rsidRDefault="00440F4F" w:rsidP="009E6FF8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</w:t>
      </w:r>
      <w:r w:rsidR="00B47768" w:rsidRPr="007B5096">
        <w:rPr>
          <w:rFonts w:ascii="Century Gothic" w:hAnsi="Century Gothic" w:cs="Arial"/>
          <w:sz w:val="18"/>
          <w:szCs w:val="18"/>
        </w:rPr>
        <w:t>Extracted from The Lang Cat</w:t>
      </w:r>
    </w:p>
    <w:p w14:paraId="19F6DACD" w14:textId="77777777" w:rsidR="00B47768" w:rsidRPr="007B5096" w:rsidRDefault="00B47768" w:rsidP="00283346">
      <w:pPr>
        <w:jc w:val="both"/>
        <w:rPr>
          <w:rFonts w:ascii="Century Gothic" w:hAnsi="Century Gothic" w:cs="Arial"/>
        </w:rPr>
      </w:pPr>
    </w:p>
    <w:p w14:paraId="25B26200" w14:textId="318DCE8E" w:rsidR="00005A48" w:rsidRPr="003F7DBA" w:rsidRDefault="00005A48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In addition to the platform fee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Pr="003F7DBA">
        <w:rPr>
          <w:rFonts w:ascii="Century Gothic" w:hAnsi="Century Gothic" w:cs="Arial"/>
          <w:sz w:val="22"/>
          <w:szCs w:val="22"/>
        </w:rPr>
        <w:t xml:space="preserve"> do apply a wrapper fee for both ISA and Pensions.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Pr="003F7DBA">
        <w:rPr>
          <w:rFonts w:ascii="Century Gothic" w:hAnsi="Century Gothic" w:cs="Arial"/>
          <w:sz w:val="22"/>
          <w:szCs w:val="22"/>
        </w:rPr>
        <w:t xml:space="preserve"> also currently </w:t>
      </w:r>
      <w:proofErr w:type="gramStart"/>
      <w:r w:rsidRPr="003F7DBA">
        <w:rPr>
          <w:rFonts w:ascii="Century Gothic" w:hAnsi="Century Gothic" w:cs="Arial"/>
          <w:sz w:val="22"/>
          <w:szCs w:val="22"/>
        </w:rPr>
        <w:t>apply</w:t>
      </w:r>
      <w:proofErr w:type="gramEnd"/>
      <w:r w:rsidRPr="003F7DBA">
        <w:rPr>
          <w:rFonts w:ascii="Century Gothic" w:hAnsi="Century Gothic" w:cs="Arial"/>
          <w:sz w:val="22"/>
          <w:szCs w:val="22"/>
        </w:rPr>
        <w:t xml:space="preserve"> a dealing fee for all 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switches and new money invested onto the platform which is currently 0.1% on funds below £1million and this is being reduced to 0.05% from </w:t>
      </w:r>
      <w:r w:rsidR="00440F4F" w:rsidRPr="00440F4F">
        <w:rPr>
          <w:rFonts w:ascii="Century Gothic" w:hAnsi="Century Gothic" w:cs="Arial"/>
          <w:sz w:val="22"/>
          <w:szCs w:val="22"/>
          <w:highlight w:val="yellow"/>
        </w:rPr>
        <w:t>date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. </w:t>
      </w:r>
      <w:r w:rsidR="00440F4F">
        <w:rPr>
          <w:rFonts w:ascii="Century Gothic" w:hAnsi="Century Gothic" w:cs="Arial"/>
          <w:sz w:val="22"/>
          <w:szCs w:val="22"/>
        </w:rPr>
        <w:t>Platform 4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does not apply any additional fees above the platform fee.</w:t>
      </w:r>
    </w:p>
    <w:p w14:paraId="72DC2681" w14:textId="77777777" w:rsidR="00124882" w:rsidRPr="007B5096" w:rsidRDefault="00124882" w:rsidP="00203A8E">
      <w:pPr>
        <w:spacing w:line="360" w:lineRule="auto"/>
        <w:jc w:val="both"/>
        <w:rPr>
          <w:rFonts w:ascii="Century Gothic" w:hAnsi="Century Gothic" w:cs="Arial"/>
        </w:rPr>
      </w:pPr>
    </w:p>
    <w:p w14:paraId="2E34A97D" w14:textId="77777777" w:rsidR="00B47768" w:rsidRPr="00203A8E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  <w:color w:val="2A948A"/>
          <w:sz w:val="24"/>
          <w:szCs w:val="24"/>
        </w:rPr>
      </w:pPr>
      <w:r w:rsidRPr="00203A8E">
        <w:rPr>
          <w:rFonts w:ascii="Century Gothic" w:hAnsi="Century Gothic"/>
          <w:color w:val="2A948A"/>
          <w:sz w:val="24"/>
          <w:szCs w:val="24"/>
        </w:rPr>
        <w:t>Conclusion</w:t>
      </w:r>
    </w:p>
    <w:p w14:paraId="487DEA33" w14:textId="77777777" w:rsidR="0047221D" w:rsidRDefault="0047221D" w:rsidP="00440F4F">
      <w:pPr>
        <w:rPr>
          <w:rFonts w:ascii="Century Gothic" w:hAnsi="Century Gothic"/>
        </w:rPr>
      </w:pPr>
    </w:p>
    <w:p w14:paraId="02BE0CE4" w14:textId="2FA0D7A7" w:rsidR="00124882" w:rsidRPr="00440F4F" w:rsidRDefault="00005A48" w:rsidP="00203A8E">
      <w:pPr>
        <w:spacing w:line="360" w:lineRule="auto"/>
        <w:rPr>
          <w:rFonts w:ascii="Century Gothic" w:hAnsi="Century Gothic"/>
        </w:rPr>
      </w:pPr>
      <w:r w:rsidRPr="003F7DBA">
        <w:rPr>
          <w:rFonts w:ascii="Century Gothic" w:hAnsi="Century Gothic" w:cs="Arial"/>
          <w:sz w:val="22"/>
          <w:szCs w:val="22"/>
        </w:rPr>
        <w:t>Based on</w:t>
      </w:r>
      <w:r w:rsidR="00B47768" w:rsidRPr="003F7DBA">
        <w:rPr>
          <w:rFonts w:ascii="Century Gothic" w:hAnsi="Century Gothic" w:cs="Arial"/>
          <w:sz w:val="22"/>
          <w:szCs w:val="22"/>
        </w:rPr>
        <w:t xml:space="preserve"> all 4 </w:t>
      </w:r>
      <w:proofErr w:type="gramStart"/>
      <w:r w:rsidR="00B47768" w:rsidRPr="003F7DBA">
        <w:rPr>
          <w:rFonts w:ascii="Century Gothic" w:hAnsi="Century Gothic" w:cs="Arial"/>
          <w:sz w:val="22"/>
          <w:szCs w:val="22"/>
        </w:rPr>
        <w:t>sifts</w:t>
      </w:r>
      <w:proofErr w:type="gramEnd"/>
      <w:r w:rsidR="00B47768" w:rsidRPr="003F7DBA">
        <w:rPr>
          <w:rFonts w:ascii="Century Gothic" w:hAnsi="Century Gothic" w:cs="Arial"/>
          <w:sz w:val="22"/>
          <w:szCs w:val="22"/>
        </w:rPr>
        <w:t xml:space="preserve"> 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we will </w:t>
      </w:r>
      <w:proofErr w:type="spellStart"/>
      <w:r w:rsidR="00283346" w:rsidRPr="003F7DBA">
        <w:rPr>
          <w:rFonts w:ascii="Century Gothic" w:hAnsi="Century Gothic" w:cs="Arial"/>
          <w:sz w:val="22"/>
          <w:szCs w:val="22"/>
        </w:rPr>
        <w:t>utilise</w:t>
      </w:r>
      <w:proofErr w:type="spellEnd"/>
      <w:r w:rsidR="00283346" w:rsidRPr="003F7DBA">
        <w:rPr>
          <w:rFonts w:ascii="Century Gothic" w:hAnsi="Century Gothic" w:cs="Arial"/>
          <w:sz w:val="22"/>
          <w:szCs w:val="22"/>
        </w:rPr>
        <w:t xml:space="preserve"> both providers. As a guide we believe that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would be </w:t>
      </w:r>
      <w:proofErr w:type="spellStart"/>
      <w:r w:rsidR="00283346" w:rsidRPr="003F7DBA">
        <w:rPr>
          <w:rFonts w:ascii="Century Gothic" w:hAnsi="Century Gothic" w:cs="Arial"/>
          <w:sz w:val="22"/>
          <w:szCs w:val="22"/>
        </w:rPr>
        <w:t>utilised</w:t>
      </w:r>
      <w:proofErr w:type="spellEnd"/>
      <w:r w:rsidR="00283346" w:rsidRPr="003F7DBA">
        <w:rPr>
          <w:rFonts w:ascii="Century Gothic" w:hAnsi="Century Gothic" w:cs="Arial"/>
          <w:sz w:val="22"/>
          <w:szCs w:val="22"/>
        </w:rPr>
        <w:t xml:space="preserve"> for clients with assets below £500,000 and </w:t>
      </w:r>
      <w:r w:rsidR="00440F4F">
        <w:rPr>
          <w:rFonts w:ascii="Century Gothic" w:hAnsi="Century Gothic" w:cs="Arial"/>
          <w:sz w:val="22"/>
          <w:szCs w:val="22"/>
        </w:rPr>
        <w:t>Platform 5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for clients above this.</w:t>
      </w:r>
    </w:p>
    <w:p w14:paraId="3E80193A" w14:textId="77777777" w:rsidR="003F7DBA" w:rsidRDefault="003F7DBA" w:rsidP="00203A8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5354AD05" w14:textId="0DF836A3" w:rsidR="003F7DBA" w:rsidRPr="003F7DBA" w:rsidRDefault="003F7DBA" w:rsidP="00203A8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t>Compiler:</w:t>
      </w:r>
    </w:p>
    <w:p w14:paraId="0654D493" w14:textId="77777777" w:rsidR="003F7DBA" w:rsidRPr="003F7DBA" w:rsidRDefault="003F7DBA" w:rsidP="00203A8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7F6BB835" w14:textId="65BDB857" w:rsidR="003F7DBA" w:rsidRPr="003F7DBA" w:rsidRDefault="003F7DBA" w:rsidP="00203A8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t>Date:</w:t>
      </w:r>
    </w:p>
    <w:p w14:paraId="6286BAEB" w14:textId="77777777" w:rsidR="003F7DBA" w:rsidRPr="003F7DBA" w:rsidRDefault="003F7DBA" w:rsidP="00203A8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3A55BBD2" w14:textId="06133571" w:rsidR="003F7DBA" w:rsidRPr="003F7DBA" w:rsidRDefault="003F7DBA" w:rsidP="00203A8E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t>Date for next review:</w:t>
      </w:r>
    </w:p>
    <w:sectPr w:rsidR="003F7DBA" w:rsidRPr="003F7DBA" w:rsidSect="00596654">
      <w:footerReference w:type="default" r:id="rId7"/>
      <w:headerReference w:type="first" r:id="rId8"/>
      <w:footerReference w:type="first" r:id="rId9"/>
      <w:pgSz w:w="11900" w:h="16840"/>
      <w:pgMar w:top="851" w:right="141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19F0" w14:textId="77777777" w:rsidR="00596654" w:rsidRDefault="00596654" w:rsidP="0047221D">
      <w:r>
        <w:separator/>
      </w:r>
    </w:p>
  </w:endnote>
  <w:endnote w:type="continuationSeparator" w:id="0">
    <w:p w14:paraId="12AB9BCF" w14:textId="77777777" w:rsidR="00596654" w:rsidRDefault="00596654" w:rsidP="004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83CD" w14:textId="77777777" w:rsidR="00643084" w:rsidRDefault="00643084" w:rsidP="00643084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7CF90386" w14:textId="55001E78" w:rsidR="00203A8E" w:rsidRPr="00643084" w:rsidRDefault="00643084" w:rsidP="00643084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Platform DD – selection criteria pro-forma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203A8E">
      <w:rPr>
        <w:rFonts w:ascii="Century Gothic" w:hAnsi="Century Gothic"/>
        <w:sz w:val="18"/>
        <w:szCs w:val="18"/>
      </w:rPr>
      <w:fldChar w:fldCharType="begin"/>
    </w:r>
    <w:r w:rsidRPr="00203A8E">
      <w:rPr>
        <w:rFonts w:ascii="Century Gothic" w:hAnsi="Century Gothic"/>
        <w:sz w:val="18"/>
        <w:szCs w:val="18"/>
      </w:rPr>
      <w:instrText xml:space="preserve"> PAGE   \* MERGEFORMAT </w:instrText>
    </w:r>
    <w:r w:rsidRPr="00203A8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203A8E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D3D7" w14:textId="4D98DAA6" w:rsidR="00203A8E" w:rsidRDefault="00643084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639F33E9" w14:textId="62888F68" w:rsidR="00203A8E" w:rsidRPr="00203A8E" w:rsidRDefault="00643084" w:rsidP="00203A8E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203A8E">
      <w:rPr>
        <w:rFonts w:ascii="Century Gothic" w:hAnsi="Century Gothic"/>
        <w:sz w:val="18"/>
        <w:szCs w:val="18"/>
      </w:rPr>
      <w:t>27112023 Platform DD – selection criteria pro-forma</w:t>
    </w:r>
    <w:r w:rsidR="00203A8E">
      <w:rPr>
        <w:rFonts w:ascii="Century Gothic" w:hAnsi="Century Gothic"/>
        <w:sz w:val="18"/>
        <w:szCs w:val="18"/>
      </w:rPr>
      <w:tab/>
    </w:r>
    <w:r w:rsidR="00203A8E">
      <w:rPr>
        <w:rFonts w:ascii="Century Gothic" w:hAnsi="Century Gothic"/>
        <w:sz w:val="18"/>
        <w:szCs w:val="18"/>
      </w:rPr>
      <w:tab/>
    </w:r>
    <w:r w:rsidR="00203A8E">
      <w:rPr>
        <w:rFonts w:ascii="Century Gothic" w:hAnsi="Century Gothic"/>
        <w:sz w:val="18"/>
        <w:szCs w:val="18"/>
      </w:rPr>
      <w:tab/>
    </w:r>
    <w:r w:rsidR="00203A8E">
      <w:rPr>
        <w:rFonts w:ascii="Century Gothic" w:hAnsi="Century Gothic"/>
        <w:sz w:val="18"/>
        <w:szCs w:val="18"/>
      </w:rPr>
      <w:tab/>
    </w:r>
    <w:r w:rsidR="00203A8E">
      <w:rPr>
        <w:rFonts w:ascii="Century Gothic" w:hAnsi="Century Gothic"/>
        <w:sz w:val="18"/>
        <w:szCs w:val="18"/>
      </w:rPr>
      <w:tab/>
      <w:t xml:space="preserve">Page </w:t>
    </w:r>
    <w:r w:rsidR="00203A8E" w:rsidRPr="00203A8E">
      <w:rPr>
        <w:rFonts w:ascii="Century Gothic" w:hAnsi="Century Gothic"/>
        <w:sz w:val="18"/>
        <w:szCs w:val="18"/>
      </w:rPr>
      <w:fldChar w:fldCharType="begin"/>
    </w:r>
    <w:r w:rsidR="00203A8E" w:rsidRPr="00203A8E">
      <w:rPr>
        <w:rFonts w:ascii="Century Gothic" w:hAnsi="Century Gothic"/>
        <w:sz w:val="18"/>
        <w:szCs w:val="18"/>
      </w:rPr>
      <w:instrText xml:space="preserve"> PAGE   \* MERGEFORMAT </w:instrText>
    </w:r>
    <w:r w:rsidR="00203A8E" w:rsidRPr="00203A8E">
      <w:rPr>
        <w:rFonts w:ascii="Century Gothic" w:hAnsi="Century Gothic"/>
        <w:sz w:val="18"/>
        <w:szCs w:val="18"/>
      </w:rPr>
      <w:fldChar w:fldCharType="separate"/>
    </w:r>
    <w:r w:rsidR="00203A8E" w:rsidRPr="00203A8E">
      <w:rPr>
        <w:rFonts w:ascii="Century Gothic" w:hAnsi="Century Gothic"/>
        <w:noProof/>
        <w:sz w:val="18"/>
        <w:szCs w:val="18"/>
      </w:rPr>
      <w:t>1</w:t>
    </w:r>
    <w:r w:rsidR="00203A8E" w:rsidRPr="00203A8E">
      <w:rPr>
        <w:rFonts w:ascii="Century Gothic" w:hAnsi="Century Gothic"/>
        <w:noProof/>
        <w:sz w:val="18"/>
        <w:szCs w:val="18"/>
      </w:rPr>
      <w:fldChar w:fldCharType="end"/>
    </w:r>
    <w:r w:rsidR="00203A8E">
      <w:rPr>
        <w:rFonts w:ascii="Century Gothic" w:hAnsi="Century Gothic"/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05C2" w14:textId="77777777" w:rsidR="00596654" w:rsidRDefault="00596654" w:rsidP="0047221D">
      <w:r>
        <w:separator/>
      </w:r>
    </w:p>
  </w:footnote>
  <w:footnote w:type="continuationSeparator" w:id="0">
    <w:p w14:paraId="2AD0B930" w14:textId="77777777" w:rsidR="00596654" w:rsidRDefault="00596654" w:rsidP="004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8006" w14:textId="2E2BB89B" w:rsidR="00203A8E" w:rsidRDefault="00643084" w:rsidP="00203A8E">
    <w:pPr>
      <w:pStyle w:val="Header"/>
      <w:shd w:val="clear" w:color="auto" w:fill="008E8E"/>
      <w:tabs>
        <w:tab w:val="clear" w:pos="4513"/>
        <w:tab w:val="clear" w:pos="9026"/>
      </w:tabs>
    </w:pPr>
    <w:r>
      <w:rPr>
        <w:rFonts w:ascii="Century Gothic" w:hAnsi="Century Gothic"/>
        <w:b/>
        <w:color w:val="FFFFFF"/>
        <w:sz w:val="36"/>
        <w:szCs w:val="36"/>
      </w:rPr>
      <w:t>Essentials</w:t>
    </w:r>
  </w:p>
  <w:p w14:paraId="12BA30B7" w14:textId="77777777" w:rsidR="00203A8E" w:rsidRDefault="00203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B3B"/>
    <w:multiLevelType w:val="hybridMultilevel"/>
    <w:tmpl w:val="8426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80"/>
    <w:multiLevelType w:val="hybridMultilevel"/>
    <w:tmpl w:val="694C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1CAA"/>
    <w:multiLevelType w:val="hybridMultilevel"/>
    <w:tmpl w:val="CD6C3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2732FC"/>
    <w:multiLevelType w:val="hybridMultilevel"/>
    <w:tmpl w:val="4E9C2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179990">
    <w:abstractNumId w:val="1"/>
  </w:num>
  <w:num w:numId="2" w16cid:durableId="193662117">
    <w:abstractNumId w:val="0"/>
  </w:num>
  <w:num w:numId="3" w16cid:durableId="747338036">
    <w:abstractNumId w:val="3"/>
  </w:num>
  <w:num w:numId="4" w16cid:durableId="167460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97"/>
    <w:rsid w:val="00005A48"/>
    <w:rsid w:val="00072415"/>
    <w:rsid w:val="000B5A62"/>
    <w:rsid w:val="000E2F83"/>
    <w:rsid w:val="001172CF"/>
    <w:rsid w:val="00124882"/>
    <w:rsid w:val="00130B4F"/>
    <w:rsid w:val="0014662A"/>
    <w:rsid w:val="001E2E5C"/>
    <w:rsid w:val="002017DD"/>
    <w:rsid w:val="00203A8E"/>
    <w:rsid w:val="00283346"/>
    <w:rsid w:val="00285D86"/>
    <w:rsid w:val="002E2518"/>
    <w:rsid w:val="003960CB"/>
    <w:rsid w:val="003F7DBA"/>
    <w:rsid w:val="00440F4F"/>
    <w:rsid w:val="0045547C"/>
    <w:rsid w:val="0047221D"/>
    <w:rsid w:val="004C3686"/>
    <w:rsid w:val="004D3BD1"/>
    <w:rsid w:val="00504239"/>
    <w:rsid w:val="00536FED"/>
    <w:rsid w:val="00596654"/>
    <w:rsid w:val="00643084"/>
    <w:rsid w:val="007463FC"/>
    <w:rsid w:val="007B5096"/>
    <w:rsid w:val="00801440"/>
    <w:rsid w:val="008D6FE0"/>
    <w:rsid w:val="008E4A9F"/>
    <w:rsid w:val="00955148"/>
    <w:rsid w:val="009E6FF8"/>
    <w:rsid w:val="00A95FD3"/>
    <w:rsid w:val="00B47768"/>
    <w:rsid w:val="00BC2BD1"/>
    <w:rsid w:val="00C61629"/>
    <w:rsid w:val="00DA7D4D"/>
    <w:rsid w:val="00E17999"/>
    <w:rsid w:val="00E82571"/>
    <w:rsid w:val="00E83990"/>
    <w:rsid w:val="00E96167"/>
    <w:rsid w:val="00F422D7"/>
    <w:rsid w:val="00F76A9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1CB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2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22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2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21D"/>
  </w:style>
  <w:style w:type="paragraph" w:styleId="Footer">
    <w:name w:val="footer"/>
    <w:basedOn w:val="Normal"/>
    <w:link w:val="FooterChar"/>
    <w:uiPriority w:val="99"/>
    <w:unhideWhenUsed/>
    <w:rsid w:val="00472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Dennison</dc:creator>
  <cp:keywords/>
  <dc:description/>
  <cp:lastModifiedBy>Sarah Dennison</cp:lastModifiedBy>
  <cp:revision>2</cp:revision>
  <dcterms:created xsi:type="dcterms:W3CDTF">2024-03-19T14:53:00Z</dcterms:created>
  <dcterms:modified xsi:type="dcterms:W3CDTF">2024-03-19T14:53:00Z</dcterms:modified>
  <cp:category/>
</cp:coreProperties>
</file>