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29B1" w14:textId="77777777" w:rsidR="00236FC1" w:rsidRPr="00F5623D" w:rsidRDefault="008F7C83" w:rsidP="008F7C83">
      <w:pPr>
        <w:pStyle w:val="Heading1"/>
        <w:rPr>
          <w:rFonts w:ascii="Century Gothic" w:hAnsi="Century Gothic"/>
          <w:b/>
          <w:bCs/>
          <w:color w:val="009193"/>
        </w:rPr>
      </w:pPr>
      <w:r w:rsidRPr="00F5623D">
        <w:rPr>
          <w:rFonts w:ascii="Century Gothic" w:hAnsi="Century Gothic"/>
          <w:b/>
          <w:bCs/>
          <w:color w:val="009193"/>
        </w:rPr>
        <w:t>Responsibilities Map</w:t>
      </w:r>
    </w:p>
    <w:p w14:paraId="35595074" w14:textId="77777777" w:rsidR="008F7C83" w:rsidRDefault="008F7C83" w:rsidP="008F7C83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237"/>
        <w:gridCol w:w="3652"/>
        <w:gridCol w:w="4081"/>
        <w:gridCol w:w="2372"/>
        <w:gridCol w:w="1138"/>
      </w:tblGrid>
      <w:tr w:rsidR="00150DDE" w:rsidRPr="00F5623D" w14:paraId="187602E9" w14:textId="77777777" w:rsidTr="00D8709C">
        <w:trPr>
          <w:cantSplit/>
          <w:tblHeader/>
        </w:trPr>
        <w:tc>
          <w:tcPr>
            <w:tcW w:w="523" w:type="pct"/>
            <w:shd w:val="clear" w:color="auto" w:fill="009193"/>
            <w:vAlign w:val="center"/>
          </w:tcPr>
          <w:p w14:paraId="3E705439" w14:textId="77777777" w:rsidR="00ED0BF9" w:rsidRPr="00F5623D" w:rsidRDefault="00ED0BF9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Key business area</w:t>
            </w:r>
          </w:p>
        </w:tc>
        <w:tc>
          <w:tcPr>
            <w:tcW w:w="444" w:type="pct"/>
            <w:shd w:val="clear" w:color="auto" w:fill="009193"/>
            <w:vAlign w:val="center"/>
          </w:tcPr>
          <w:p w14:paraId="765BDFA0" w14:textId="77777777" w:rsidR="00ED0BF9" w:rsidRPr="00F5623D" w:rsidRDefault="00ED0BF9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Risk to the business</w:t>
            </w:r>
          </w:p>
          <w:p w14:paraId="3D9F03EC" w14:textId="77777777" w:rsidR="00461736" w:rsidRPr="00F5623D" w:rsidRDefault="00461736" w:rsidP="00461736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(RAG)</w:t>
            </w:r>
          </w:p>
        </w:tc>
        <w:tc>
          <w:tcPr>
            <w:tcW w:w="1310" w:type="pct"/>
            <w:shd w:val="clear" w:color="auto" w:fill="009193"/>
            <w:tcMar>
              <w:left w:w="30" w:type="dxa"/>
              <w:right w:w="30" w:type="dxa"/>
            </w:tcMar>
            <w:vAlign w:val="center"/>
          </w:tcPr>
          <w:p w14:paraId="186645E2" w14:textId="77777777" w:rsidR="00ED0BF9" w:rsidRPr="00F5623D" w:rsidRDefault="00ED0BF9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Role of Responsible Person</w:t>
            </w:r>
          </w:p>
        </w:tc>
        <w:tc>
          <w:tcPr>
            <w:tcW w:w="1464" w:type="pct"/>
            <w:shd w:val="clear" w:color="auto" w:fill="009193"/>
            <w:tcMar>
              <w:left w:w="30" w:type="dxa"/>
              <w:right w:w="30" w:type="dxa"/>
            </w:tcMar>
            <w:vAlign w:val="center"/>
          </w:tcPr>
          <w:p w14:paraId="2693BE14" w14:textId="77777777" w:rsidR="00ED0BF9" w:rsidRPr="00F5623D" w:rsidRDefault="00ED0BF9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Explanation</w:t>
            </w:r>
          </w:p>
        </w:tc>
        <w:tc>
          <w:tcPr>
            <w:tcW w:w="851" w:type="pct"/>
            <w:shd w:val="clear" w:color="auto" w:fill="009193"/>
            <w:vAlign w:val="center"/>
          </w:tcPr>
          <w:p w14:paraId="0CEFC9FA" w14:textId="77777777" w:rsidR="00ED0BF9" w:rsidRPr="00F5623D" w:rsidRDefault="00ED0BF9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 xml:space="preserve">Senior Manager </w:t>
            </w:r>
            <w:proofErr w:type="gramStart"/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Function  (</w:t>
            </w:r>
            <w:proofErr w:type="gramEnd"/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SMF, PR, OR) or Certificated Role?</w:t>
            </w:r>
          </w:p>
        </w:tc>
        <w:tc>
          <w:tcPr>
            <w:tcW w:w="408" w:type="pct"/>
            <w:shd w:val="clear" w:color="auto" w:fill="009193"/>
            <w:vAlign w:val="center"/>
          </w:tcPr>
          <w:p w14:paraId="662444F3" w14:textId="77777777" w:rsidR="00ED0BF9" w:rsidRPr="00F5623D" w:rsidRDefault="00ED0BF9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b/>
                <w:bCs/>
                <w:color w:val="FFFFFF" w:themeColor="background1"/>
                <w:sz w:val="22"/>
                <w:szCs w:val="22"/>
              </w:rPr>
              <w:t>Allocated to</w:t>
            </w:r>
          </w:p>
        </w:tc>
      </w:tr>
      <w:tr w:rsidR="008316EA" w:rsidRPr="00F5623D" w14:paraId="17198C10" w14:textId="77777777" w:rsidTr="00D8709C">
        <w:trPr>
          <w:cantSplit/>
        </w:trPr>
        <w:tc>
          <w:tcPr>
            <w:tcW w:w="523" w:type="pct"/>
            <w:vMerge w:val="restart"/>
            <w:vAlign w:val="center"/>
          </w:tcPr>
          <w:p w14:paraId="025A55F4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444" w:type="pct"/>
            <w:shd w:val="clear" w:color="auto" w:fill="FF7E79"/>
          </w:tcPr>
          <w:p w14:paraId="5EA012AF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3DF9A163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Chief Executive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2CB12D54" w14:textId="77777777" w:rsidR="008316EA" w:rsidRPr="00F5623D" w:rsidRDefault="008316EA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Responsibility, under the immediate authority of</w:t>
            </w:r>
          </w:p>
          <w:p w14:paraId="2424CB9B" w14:textId="77777777" w:rsidR="008316EA" w:rsidRPr="00F5623D" w:rsidRDefault="008316EA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the governing body, for the conduct of the whole of the business (or relevant activities).</w:t>
            </w:r>
          </w:p>
          <w:p w14:paraId="32A3B5DA" w14:textId="77777777" w:rsidR="00520B7B" w:rsidRPr="00F5623D" w:rsidRDefault="00520B7B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4D843D0B" w14:textId="77777777" w:rsidR="008316EA" w:rsidRPr="00F5623D" w:rsidRDefault="00226DF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SMF1</w:t>
            </w:r>
          </w:p>
        </w:tc>
        <w:tc>
          <w:tcPr>
            <w:tcW w:w="408" w:type="pct"/>
          </w:tcPr>
          <w:p w14:paraId="6526A875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4C650605" w14:textId="77777777" w:rsidTr="00D8709C">
        <w:trPr>
          <w:cantSplit/>
          <w:trHeight w:val="458"/>
        </w:trPr>
        <w:tc>
          <w:tcPr>
            <w:tcW w:w="523" w:type="pct"/>
            <w:vMerge/>
            <w:vAlign w:val="center"/>
          </w:tcPr>
          <w:p w14:paraId="4A1F0972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C000"/>
          </w:tcPr>
          <w:p w14:paraId="23BA26C5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376E0A91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Executive (Director or Partner)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13981C98" w14:textId="77777777" w:rsidR="00520B7B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Governance</w:t>
            </w:r>
          </w:p>
        </w:tc>
        <w:tc>
          <w:tcPr>
            <w:tcW w:w="851" w:type="pct"/>
            <w:vAlign w:val="center"/>
          </w:tcPr>
          <w:p w14:paraId="4D8DA45F" w14:textId="77777777" w:rsidR="008316EA" w:rsidRPr="00F5623D" w:rsidRDefault="00226DF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SMF3/27</w:t>
            </w:r>
          </w:p>
        </w:tc>
        <w:tc>
          <w:tcPr>
            <w:tcW w:w="408" w:type="pct"/>
          </w:tcPr>
          <w:p w14:paraId="4DE7B058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120BC7AE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5AA4D6CA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C000"/>
          </w:tcPr>
          <w:p w14:paraId="00D0EF95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6A83E5B1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Oversight of SMR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610FAAD7" w14:textId="77777777" w:rsidR="008316EA" w:rsidRPr="00F5623D" w:rsidRDefault="008316EA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Performance by the firm of its obligations under the SMR, including implementation and</w:t>
            </w:r>
            <w:r w:rsidR="00520B7B"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 xml:space="preserve"> </w:t>
            </w: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oversight</w:t>
            </w:r>
          </w:p>
          <w:p w14:paraId="3119E2DB" w14:textId="77777777" w:rsidR="00CA6612" w:rsidRPr="00F5623D" w:rsidRDefault="00CA6612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4920C2DA" w14:textId="77777777" w:rsidR="008316EA" w:rsidRPr="00F5623D" w:rsidRDefault="00FB756B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</w:t>
            </w:r>
            <w:r w:rsidR="00226DFA"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PR a)</w:t>
            </w: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8" w:type="pct"/>
          </w:tcPr>
          <w:p w14:paraId="08DFF021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5309DF0F" w14:textId="77777777" w:rsidTr="00D8709C">
        <w:trPr>
          <w:cantSplit/>
          <w:trHeight w:val="878"/>
        </w:trPr>
        <w:tc>
          <w:tcPr>
            <w:tcW w:w="523" w:type="pct"/>
            <w:vMerge/>
            <w:vAlign w:val="center"/>
          </w:tcPr>
          <w:p w14:paraId="68F81FB2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C000"/>
          </w:tcPr>
          <w:p w14:paraId="11E4E66E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1568B99E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Oversight of CR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6DA5A9F4" w14:textId="77777777" w:rsidR="00CA6612" w:rsidRPr="00F5623D" w:rsidRDefault="008316EA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Performance by the firm of its obligations under the Certification Regime</w:t>
            </w:r>
          </w:p>
        </w:tc>
        <w:tc>
          <w:tcPr>
            <w:tcW w:w="851" w:type="pct"/>
            <w:vAlign w:val="center"/>
          </w:tcPr>
          <w:p w14:paraId="0775E164" w14:textId="77777777" w:rsidR="008316EA" w:rsidRPr="00F5623D" w:rsidRDefault="00FB756B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</w:t>
            </w:r>
            <w:r w:rsidR="00226DFA"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PR b)</w:t>
            </w: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8" w:type="pct"/>
          </w:tcPr>
          <w:p w14:paraId="50547499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704FA1BE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3CBF153F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C000"/>
          </w:tcPr>
          <w:p w14:paraId="099EE0B7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2F1F8341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Business continuity planning</w:t>
            </w:r>
          </w:p>
          <w:p w14:paraId="66FB25FC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  <w:p w14:paraId="4BED186D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61CEEC4E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This relates to establishing, implementing and maintaining an adequate business continuity policy aimed at ensuring, in the case of an interruption to a firm’s systems and procedures, that:</w:t>
            </w:r>
          </w:p>
          <w:p w14:paraId="5A4C5CF4" w14:textId="77777777" w:rsidR="00461736" w:rsidRPr="00F5623D" w:rsidRDefault="00461736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  <w:p w14:paraId="3E96D6B4" w14:textId="77777777" w:rsidR="008316EA" w:rsidRPr="00F5623D" w:rsidRDefault="008316EA" w:rsidP="00FB75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510" w:right="50" w:hanging="36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Any losses are limited.</w:t>
            </w:r>
          </w:p>
          <w:p w14:paraId="3BB79DF8" w14:textId="77777777" w:rsidR="008316EA" w:rsidRPr="00F5623D" w:rsidRDefault="008316EA" w:rsidP="00FB75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10" w:right="50" w:hanging="36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Essential data and functions are preserved.</w:t>
            </w:r>
          </w:p>
          <w:p w14:paraId="0E340020" w14:textId="77777777" w:rsidR="008316EA" w:rsidRPr="00F5623D" w:rsidRDefault="008316EA" w:rsidP="00FB75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510" w:right="50" w:hanging="36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Regulated activities are maintained.</w:t>
            </w:r>
          </w:p>
        </w:tc>
        <w:tc>
          <w:tcPr>
            <w:tcW w:w="851" w:type="pct"/>
            <w:vAlign w:val="center"/>
          </w:tcPr>
          <w:p w14:paraId="7BF5749C" w14:textId="77777777" w:rsidR="008316EA" w:rsidRPr="00F5623D" w:rsidRDefault="00FB756B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12876C3A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1B32FA7E" w14:textId="77777777" w:rsidTr="00D8709C">
        <w:trPr>
          <w:cantSplit/>
        </w:trPr>
        <w:tc>
          <w:tcPr>
            <w:tcW w:w="523" w:type="pct"/>
            <w:vMerge w:val="restart"/>
            <w:vAlign w:val="center"/>
          </w:tcPr>
          <w:p w14:paraId="39FCEA76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Compliance</w:t>
            </w:r>
          </w:p>
        </w:tc>
        <w:tc>
          <w:tcPr>
            <w:tcW w:w="444" w:type="pct"/>
            <w:shd w:val="clear" w:color="auto" w:fill="FF7E79"/>
          </w:tcPr>
          <w:p w14:paraId="36BB9532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55578152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Compliance Officer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1908FEAF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  <w:p w14:paraId="091F3587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Responsible for the compliance function</w:t>
            </w:r>
          </w:p>
          <w:p w14:paraId="0D552721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16CAE17A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SMF16</w:t>
            </w:r>
          </w:p>
        </w:tc>
        <w:tc>
          <w:tcPr>
            <w:tcW w:w="408" w:type="pct"/>
          </w:tcPr>
          <w:p w14:paraId="0038B98D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2C33E5CF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0DC063F5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C000"/>
          </w:tcPr>
          <w:p w14:paraId="28C76800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04ED921C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Anti Money Laundering Oversight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290AE1F0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Responsibility for overseeing the firm’s</w:t>
            </w:r>
          </w:p>
          <w:p w14:paraId="218A7CA5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compliance with the FCA’s rules on systems and controls against money laundering.</w:t>
            </w:r>
          </w:p>
          <w:p w14:paraId="58DC9238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20E244BD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SMF17</w:t>
            </w:r>
          </w:p>
        </w:tc>
        <w:tc>
          <w:tcPr>
            <w:tcW w:w="408" w:type="pct"/>
          </w:tcPr>
          <w:p w14:paraId="2373CAB2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10F1EC0A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5E03F330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58957318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786D46D1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SMR training and FCA notifications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1342BDBC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Performance by the firm of its obligations in respect of notifications and training of the Conduct Rules</w:t>
            </w:r>
          </w:p>
          <w:p w14:paraId="027587E1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71EA6727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SMF-PR b.1).</w:t>
            </w:r>
          </w:p>
        </w:tc>
        <w:tc>
          <w:tcPr>
            <w:tcW w:w="408" w:type="pct"/>
          </w:tcPr>
          <w:p w14:paraId="488427A6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190EFE4D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2BF90238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0AD6D5DF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6ED76FFA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Prevention of Financial crime, bribery and corruption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59EFAADA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  <w:r w:rsidRPr="00F5623D">
              <w:rPr>
                <w:rFonts w:ascii="Century Gothic" w:eastAsiaTheme="minorHAnsi" w:hAnsi="Century Gothic" w:cstheme="minorHAnsi"/>
                <w:sz w:val="22"/>
                <w:szCs w:val="22"/>
              </w:rPr>
              <w:t>Responsibility for the firm’s policies and procedures for countering the risk that the firm might be used to further financial crime</w:t>
            </w:r>
          </w:p>
          <w:p w14:paraId="5A7A4FBA" w14:textId="77777777" w:rsidR="00D8709C" w:rsidRPr="00F5623D" w:rsidRDefault="00D8709C" w:rsidP="00FB756B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theme="minorHAnsi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215166F1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SMF-PR d).</w:t>
            </w:r>
          </w:p>
        </w:tc>
        <w:tc>
          <w:tcPr>
            <w:tcW w:w="408" w:type="pct"/>
          </w:tcPr>
          <w:p w14:paraId="4AE6F342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7718DBD9" w14:textId="77777777" w:rsidTr="00D8709C">
        <w:trPr>
          <w:cantSplit/>
          <w:trHeight w:val="924"/>
        </w:trPr>
        <w:tc>
          <w:tcPr>
            <w:tcW w:w="523" w:type="pct"/>
            <w:vMerge/>
            <w:vAlign w:val="center"/>
          </w:tcPr>
          <w:p w14:paraId="6F3E82D9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4C2EA57C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348F5A31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Customer complaints handling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7A83E2F6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This includes the firm’s compliance with the FCA’s Dispute Resolution procedures</w:t>
            </w:r>
          </w:p>
        </w:tc>
        <w:tc>
          <w:tcPr>
            <w:tcW w:w="851" w:type="pct"/>
            <w:vAlign w:val="center"/>
          </w:tcPr>
          <w:p w14:paraId="30A6FD6A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CR</w:t>
            </w:r>
          </w:p>
        </w:tc>
        <w:tc>
          <w:tcPr>
            <w:tcW w:w="408" w:type="pct"/>
          </w:tcPr>
          <w:p w14:paraId="1154A3B4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504CAB58" w14:textId="77777777" w:rsidTr="00D8709C">
        <w:trPr>
          <w:cantSplit/>
          <w:trHeight w:val="924"/>
        </w:trPr>
        <w:tc>
          <w:tcPr>
            <w:tcW w:w="523" w:type="pct"/>
            <w:vMerge/>
            <w:vAlign w:val="center"/>
          </w:tcPr>
          <w:p w14:paraId="7ED674D9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044DAE22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331E0739" w14:textId="79568F09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Consumer Duty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2207EA61" w14:textId="17AF0171" w:rsidR="00D8709C" w:rsidRPr="00F5623D" w:rsidRDefault="00B168C9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Reading of FCA guidelines and PS, preparing and maintaining CD action / monitoring plan</w:t>
            </w:r>
          </w:p>
        </w:tc>
        <w:tc>
          <w:tcPr>
            <w:tcW w:w="851" w:type="pct"/>
            <w:vAlign w:val="center"/>
          </w:tcPr>
          <w:p w14:paraId="24B74875" w14:textId="6C69DF1E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26637358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2804670D" w14:textId="77777777" w:rsidTr="00D8709C">
        <w:trPr>
          <w:cantSplit/>
          <w:trHeight w:val="554"/>
        </w:trPr>
        <w:tc>
          <w:tcPr>
            <w:tcW w:w="523" w:type="pct"/>
            <w:vMerge w:val="restart"/>
            <w:vAlign w:val="center"/>
          </w:tcPr>
          <w:p w14:paraId="0FB6FB29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Advice</w:t>
            </w:r>
          </w:p>
        </w:tc>
        <w:tc>
          <w:tcPr>
            <w:tcW w:w="444" w:type="pct"/>
            <w:shd w:val="clear" w:color="auto" w:fill="FF7E79"/>
          </w:tcPr>
          <w:p w14:paraId="79CE19F3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72C6791C" w14:textId="77777777" w:rsidR="008316EA" w:rsidRPr="00F5623D" w:rsidRDefault="008316EA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Financial or investment advice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43210E80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Advising on and selling investments.</w:t>
            </w:r>
          </w:p>
        </w:tc>
        <w:tc>
          <w:tcPr>
            <w:tcW w:w="851" w:type="pct"/>
            <w:vAlign w:val="center"/>
          </w:tcPr>
          <w:p w14:paraId="66360A8E" w14:textId="77777777" w:rsidR="008316EA" w:rsidRPr="00F5623D" w:rsidRDefault="00FB756B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CR</w:t>
            </w:r>
          </w:p>
        </w:tc>
        <w:tc>
          <w:tcPr>
            <w:tcW w:w="408" w:type="pct"/>
          </w:tcPr>
          <w:p w14:paraId="423FE36B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2BE0EFA6" w14:textId="77777777" w:rsidTr="00D8709C">
        <w:trPr>
          <w:cantSplit/>
          <w:trHeight w:val="846"/>
        </w:trPr>
        <w:tc>
          <w:tcPr>
            <w:tcW w:w="523" w:type="pct"/>
            <w:vMerge/>
            <w:vAlign w:val="center"/>
          </w:tcPr>
          <w:p w14:paraId="4BF215C5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7E79"/>
          </w:tcPr>
          <w:p w14:paraId="2139FB50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486AF03F" w14:textId="77777777" w:rsidR="008316EA" w:rsidRPr="00F5623D" w:rsidRDefault="008316EA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Mortgage advice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498F85F7" w14:textId="77777777" w:rsidR="008316EA" w:rsidRPr="00F5623D" w:rsidRDefault="008316EA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Advising on and selling regulated mortgage contracts</w:t>
            </w:r>
          </w:p>
        </w:tc>
        <w:tc>
          <w:tcPr>
            <w:tcW w:w="851" w:type="pct"/>
            <w:vAlign w:val="center"/>
          </w:tcPr>
          <w:p w14:paraId="22132FD8" w14:textId="77777777" w:rsidR="008316EA" w:rsidRPr="00F5623D" w:rsidRDefault="00FB756B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CR</w:t>
            </w:r>
          </w:p>
        </w:tc>
        <w:tc>
          <w:tcPr>
            <w:tcW w:w="408" w:type="pct"/>
          </w:tcPr>
          <w:p w14:paraId="551F4683" w14:textId="77777777" w:rsidR="008316EA" w:rsidRPr="00F5623D" w:rsidRDefault="008316EA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8316EA" w:rsidRPr="00F5623D" w14:paraId="5E06EAD8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6F5687E5" w14:textId="77777777" w:rsidR="008316EA" w:rsidRPr="00F5623D" w:rsidRDefault="008316EA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65A85F2A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0757BB95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Investment research</w:t>
            </w:r>
          </w:p>
          <w:p w14:paraId="4BC3F721" w14:textId="77777777" w:rsidR="008316EA" w:rsidRPr="00F5623D" w:rsidRDefault="008316EA" w:rsidP="00461736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37EC8913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This refers to research </w:t>
            </w:r>
            <w:proofErr w:type="gramStart"/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that  recommends</w:t>
            </w:r>
            <w:proofErr w:type="gramEnd"/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or suggests an investment strategy, which concerns financial funds and products.</w:t>
            </w:r>
          </w:p>
          <w:p w14:paraId="085380D0" w14:textId="77777777" w:rsidR="008316EA" w:rsidRPr="00F5623D" w:rsidRDefault="008316EA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0681560D" w14:textId="77777777" w:rsidR="008316EA" w:rsidRPr="00F5623D" w:rsidRDefault="00FB756B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CR</w:t>
            </w:r>
          </w:p>
        </w:tc>
        <w:tc>
          <w:tcPr>
            <w:tcW w:w="408" w:type="pct"/>
          </w:tcPr>
          <w:p w14:paraId="2ACEE3D3" w14:textId="77777777" w:rsidR="008316EA" w:rsidRPr="00F5623D" w:rsidRDefault="008316EA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08C80B35" w14:textId="77777777" w:rsidTr="00D8709C">
        <w:trPr>
          <w:cantSplit/>
        </w:trPr>
        <w:tc>
          <w:tcPr>
            <w:tcW w:w="523" w:type="pct"/>
            <w:vMerge w:val="restart"/>
            <w:vAlign w:val="center"/>
          </w:tcPr>
          <w:p w14:paraId="4A6C4E77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444" w:type="pct"/>
            <w:shd w:val="clear" w:color="auto" w:fill="92D050"/>
          </w:tcPr>
          <w:p w14:paraId="380AF795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17C8EC7E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Trading for clients</w:t>
            </w:r>
          </w:p>
          <w:p w14:paraId="12255DB1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3E880074" w14:textId="77777777" w:rsidR="00D8709C" w:rsidRPr="00F5623D" w:rsidRDefault="00D8709C" w:rsidP="000B587D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This means </w:t>
            </w:r>
            <w:proofErr w:type="gramStart"/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placing  of</w:t>
            </w:r>
            <w:proofErr w:type="gramEnd"/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orders on behalf of clients.</w:t>
            </w:r>
          </w:p>
        </w:tc>
        <w:tc>
          <w:tcPr>
            <w:tcW w:w="851" w:type="pct"/>
            <w:vAlign w:val="center"/>
          </w:tcPr>
          <w:p w14:paraId="028641FA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No SMF or CR role</w:t>
            </w:r>
          </w:p>
        </w:tc>
        <w:tc>
          <w:tcPr>
            <w:tcW w:w="408" w:type="pct"/>
          </w:tcPr>
          <w:p w14:paraId="739DD382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2F4DDB8F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7D62A6B9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7E79"/>
          </w:tcPr>
          <w:p w14:paraId="4CA3096F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25ADB57A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Customer service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1417CE1C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This means dealing with clients after the point of sale, including dealing with queries, the fulfilment of client requests and service mandates</w:t>
            </w:r>
          </w:p>
          <w:p w14:paraId="704AB1E8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7C97F1C9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CR</w:t>
            </w:r>
          </w:p>
        </w:tc>
        <w:tc>
          <w:tcPr>
            <w:tcW w:w="408" w:type="pct"/>
          </w:tcPr>
          <w:p w14:paraId="6C23AA6C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611615B5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58ECCD32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7E79"/>
          </w:tcPr>
          <w:p w14:paraId="0F88E59D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11DD6179" w14:textId="77777777" w:rsidR="00D8709C" w:rsidRPr="00F5623D" w:rsidRDefault="00D8709C" w:rsidP="00461736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74F12397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This refers, for example, to a firm’s use of computers and other electronic equipment to store and send information.</w:t>
            </w:r>
          </w:p>
          <w:p w14:paraId="61EF4061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3285B210" w14:textId="0F43A32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4E0CEE12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30F5EF6B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274BB38C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FF7E79"/>
          </w:tcPr>
          <w:p w14:paraId="1E33BFD4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4252E3CF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Data Protection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00FA5418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Ensuring client personal data protected and managed effectively</w:t>
            </w:r>
          </w:p>
          <w:p w14:paraId="1E78D2AB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1C36BB92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CR</w:t>
            </w:r>
          </w:p>
        </w:tc>
        <w:tc>
          <w:tcPr>
            <w:tcW w:w="408" w:type="pct"/>
          </w:tcPr>
          <w:p w14:paraId="7AC6A006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477188E5" w14:textId="77777777" w:rsidTr="00D8709C">
        <w:trPr>
          <w:cantSplit/>
          <w:trHeight w:val="586"/>
        </w:trPr>
        <w:tc>
          <w:tcPr>
            <w:tcW w:w="523" w:type="pct"/>
            <w:vMerge/>
            <w:vAlign w:val="center"/>
          </w:tcPr>
          <w:p w14:paraId="65EEA706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0F8A7224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4D498434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Outsourcing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1861906A" w14:textId="77777777" w:rsidR="00D8709C" w:rsidRPr="00F5623D" w:rsidRDefault="00D8709C" w:rsidP="000B587D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Managing key suppliers</w:t>
            </w:r>
          </w:p>
        </w:tc>
        <w:tc>
          <w:tcPr>
            <w:tcW w:w="851" w:type="pct"/>
            <w:vAlign w:val="center"/>
          </w:tcPr>
          <w:p w14:paraId="71EDFDF5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52349CD5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20116689" w14:textId="77777777" w:rsidTr="00D8709C">
        <w:trPr>
          <w:cantSplit/>
          <w:trHeight w:val="586"/>
        </w:trPr>
        <w:tc>
          <w:tcPr>
            <w:tcW w:w="523" w:type="pct"/>
            <w:vMerge/>
            <w:vAlign w:val="center"/>
          </w:tcPr>
          <w:p w14:paraId="3AA5D1BD" w14:textId="77777777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066C0CD7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7A35567D" w14:textId="6220E282" w:rsidR="00D8709C" w:rsidRPr="00F5623D" w:rsidRDefault="00B168C9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Retirement</w:t>
            </w:r>
            <w:r w:rsidR="00600275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income sustainability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6B43F710" w14:textId="7CC23AD1" w:rsidR="00D8709C" w:rsidRPr="00F5623D" w:rsidRDefault="00B168C9" w:rsidP="000B587D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Responsibility for retirement income sustainability control</w:t>
            </w:r>
          </w:p>
        </w:tc>
        <w:tc>
          <w:tcPr>
            <w:tcW w:w="851" w:type="pct"/>
            <w:vAlign w:val="center"/>
          </w:tcPr>
          <w:p w14:paraId="296A122E" w14:textId="4B1A1D39" w:rsidR="00D8709C" w:rsidRPr="00F5623D" w:rsidRDefault="00600275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654841CE" w14:textId="77777777" w:rsidR="00D8709C" w:rsidRPr="00F5623D" w:rsidRDefault="00D8709C" w:rsidP="006E46F3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4B0DE0C2" w14:textId="77777777" w:rsidTr="00D8709C">
        <w:trPr>
          <w:cantSplit/>
        </w:trPr>
        <w:tc>
          <w:tcPr>
            <w:tcW w:w="523" w:type="pct"/>
            <w:vMerge w:val="restart"/>
            <w:vAlign w:val="center"/>
          </w:tcPr>
          <w:p w14:paraId="699D9A25" w14:textId="1862C7E5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444" w:type="pct"/>
            <w:shd w:val="clear" w:color="auto" w:fill="FF7E79"/>
          </w:tcPr>
          <w:p w14:paraId="5E2F7F4A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5F3331C4" w14:textId="77777777" w:rsidR="00D8709C" w:rsidRPr="00F5623D" w:rsidRDefault="00D8709C" w:rsidP="0013440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4A091E05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This includes recruitment, training and competence and performance monitoring.</w:t>
            </w:r>
          </w:p>
          <w:p w14:paraId="5AD17C48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3199C786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738832B3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D8709C" w:rsidRPr="00F5623D" w14:paraId="5854F9A5" w14:textId="77777777" w:rsidTr="00D8709C">
        <w:trPr>
          <w:cantSplit/>
        </w:trPr>
        <w:tc>
          <w:tcPr>
            <w:tcW w:w="523" w:type="pct"/>
            <w:vMerge/>
            <w:vAlign w:val="center"/>
          </w:tcPr>
          <w:p w14:paraId="6E744352" w14:textId="2032B426" w:rsidR="00D8709C" w:rsidRPr="00F5623D" w:rsidRDefault="00D8709C" w:rsidP="00150DD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92D050"/>
          </w:tcPr>
          <w:p w14:paraId="7D47A09D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tcMar>
              <w:left w:w="30" w:type="dxa"/>
              <w:right w:w="30" w:type="dxa"/>
            </w:tcMar>
            <w:vAlign w:val="center"/>
          </w:tcPr>
          <w:p w14:paraId="3FE9A2BE" w14:textId="77777777" w:rsidR="00D8709C" w:rsidRPr="00F5623D" w:rsidRDefault="00D8709C" w:rsidP="0013440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Incentive schemes for the firm’s staff</w:t>
            </w:r>
          </w:p>
        </w:tc>
        <w:tc>
          <w:tcPr>
            <w:tcW w:w="1464" w:type="pct"/>
            <w:tcMar>
              <w:left w:w="30" w:type="dxa"/>
              <w:right w:w="30" w:type="dxa"/>
            </w:tcMar>
            <w:vAlign w:val="center"/>
          </w:tcPr>
          <w:p w14:paraId="011528AC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This refers to, for example, bonus schemes that depend on an employee’s performance. It is not limited to schemes based on sales.</w:t>
            </w:r>
          </w:p>
          <w:p w14:paraId="23C5F334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7C0FC584" w14:textId="77777777" w:rsidR="00D8709C" w:rsidRPr="00F5623D" w:rsidRDefault="00D8709C" w:rsidP="00FB756B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  <w:r w:rsidRPr="00F5623D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SMF-OR</w:t>
            </w:r>
          </w:p>
        </w:tc>
        <w:tc>
          <w:tcPr>
            <w:tcW w:w="408" w:type="pct"/>
          </w:tcPr>
          <w:p w14:paraId="04194411" w14:textId="77777777" w:rsidR="00D8709C" w:rsidRPr="00F5623D" w:rsidRDefault="00D8709C" w:rsidP="00ED0BF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22"/>
                <w:szCs w:val="22"/>
              </w:rPr>
            </w:pPr>
          </w:p>
        </w:tc>
      </w:tr>
    </w:tbl>
    <w:p w14:paraId="4EFA14FE" w14:textId="77777777" w:rsidR="008F7C83" w:rsidRPr="008F7C83" w:rsidRDefault="008F7C83" w:rsidP="008F7C83"/>
    <w:sectPr w:rsidR="008F7C83" w:rsidRPr="008F7C83" w:rsidSect="00F5623D">
      <w:footerReference w:type="default" r:id="rId7"/>
      <w:headerReference w:type="first" r:id="rId8"/>
      <w:footerReference w:type="first" r:id="rId9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25D75" w14:textId="77777777" w:rsidR="00F83220" w:rsidRDefault="00F83220" w:rsidP="00F5623D">
      <w:r>
        <w:separator/>
      </w:r>
    </w:p>
  </w:endnote>
  <w:endnote w:type="continuationSeparator" w:id="0">
    <w:p w14:paraId="7282B86F" w14:textId="77777777" w:rsidR="00F83220" w:rsidRDefault="00F83220" w:rsidP="00F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D18A" w14:textId="77777777" w:rsidR="00377B0E" w:rsidRDefault="00377B0E" w:rsidP="00377B0E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</w:p>
  <w:p w14:paraId="535D8F16" w14:textId="3F51ADA5" w:rsidR="00F5623D" w:rsidRPr="00377B0E" w:rsidRDefault="00377B0E" w:rsidP="00377B0E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ESS200819 Responsibilities Map for IFA’s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FB2F1E">
      <w:rPr>
        <w:rFonts w:ascii="Century Gothic" w:hAnsi="Century Gothic"/>
        <w:sz w:val="18"/>
        <w:szCs w:val="18"/>
      </w:rPr>
      <w:t xml:space="preserve">Page </w:t>
    </w:r>
    <w:r w:rsidRPr="00FB2F1E">
      <w:rPr>
        <w:rStyle w:val="PageNumber"/>
        <w:rFonts w:ascii="Century Gothic" w:hAnsi="Century Gothic"/>
        <w:sz w:val="18"/>
        <w:szCs w:val="18"/>
      </w:rPr>
      <w:fldChar w:fldCharType="begin"/>
    </w:r>
    <w:r w:rsidRPr="00FB2F1E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Pr="00FB2F1E">
      <w:rPr>
        <w:rStyle w:val="PageNumber"/>
        <w:rFonts w:ascii="Century Gothic" w:hAnsi="Century Gothic"/>
        <w:sz w:val="18"/>
        <w:szCs w:val="18"/>
      </w:rPr>
      <w:fldChar w:fldCharType="separate"/>
    </w:r>
    <w:r>
      <w:rPr>
        <w:rStyle w:val="PageNumber"/>
        <w:rFonts w:ascii="Century Gothic" w:hAnsi="Century Gothic"/>
        <w:sz w:val="18"/>
        <w:szCs w:val="18"/>
      </w:rPr>
      <w:t>1</w:t>
    </w:r>
    <w:r w:rsidRPr="00FB2F1E">
      <w:rPr>
        <w:rStyle w:val="PageNumber"/>
        <w:rFonts w:ascii="Century Gothic" w:hAnsi="Century Gothic"/>
        <w:sz w:val="18"/>
        <w:szCs w:val="18"/>
      </w:rPr>
      <w:fldChar w:fldCharType="end"/>
    </w:r>
    <w:r w:rsidRPr="00FB2F1E">
      <w:rPr>
        <w:rStyle w:val="PageNumber"/>
        <w:rFonts w:ascii="Century Gothic" w:hAnsi="Century Gothic"/>
        <w:sz w:val="18"/>
        <w:szCs w:val="18"/>
      </w:rPr>
      <w:t xml:space="preserve"> of </w:t>
    </w:r>
    <w:r>
      <w:rPr>
        <w:rStyle w:val="PageNumber"/>
        <w:rFonts w:ascii="Century Gothic" w:hAnsi="Century Gothic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4372" w14:textId="4EFC9815" w:rsidR="00F5623D" w:rsidRDefault="00377B0E" w:rsidP="00F5623D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</w:p>
  <w:p w14:paraId="78115888" w14:textId="6500440F" w:rsidR="00F5623D" w:rsidRPr="00F5623D" w:rsidRDefault="00377B0E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410EC2">
      <w:rPr>
        <w:rFonts w:ascii="Century Gothic" w:hAnsi="Century Gothic"/>
        <w:sz w:val="18"/>
        <w:szCs w:val="18"/>
      </w:rPr>
      <w:t xml:space="preserve">200819 </w:t>
    </w:r>
    <w:r w:rsidR="00F5623D">
      <w:rPr>
        <w:rFonts w:ascii="Century Gothic" w:hAnsi="Century Gothic"/>
        <w:sz w:val="18"/>
        <w:szCs w:val="18"/>
      </w:rPr>
      <w:t>Responsibilities Map for IFA’s</w:t>
    </w:r>
    <w:r w:rsidR="00F5623D">
      <w:rPr>
        <w:rFonts w:ascii="Century Gothic" w:hAnsi="Century Gothic"/>
        <w:sz w:val="18"/>
        <w:szCs w:val="18"/>
      </w:rPr>
      <w:tab/>
    </w:r>
    <w:r w:rsidR="00F5623D">
      <w:rPr>
        <w:rFonts w:ascii="Century Gothic" w:hAnsi="Century Gothic"/>
        <w:sz w:val="18"/>
        <w:szCs w:val="18"/>
      </w:rPr>
      <w:tab/>
    </w:r>
    <w:r w:rsidR="00F5623D">
      <w:rPr>
        <w:rFonts w:ascii="Century Gothic" w:hAnsi="Century Gothic"/>
        <w:sz w:val="18"/>
        <w:szCs w:val="18"/>
      </w:rPr>
      <w:tab/>
    </w:r>
    <w:r w:rsidR="00F5623D">
      <w:rPr>
        <w:rFonts w:ascii="Century Gothic" w:hAnsi="Century Gothic"/>
        <w:sz w:val="18"/>
        <w:szCs w:val="18"/>
      </w:rPr>
      <w:tab/>
    </w:r>
    <w:r w:rsidR="00F5623D">
      <w:rPr>
        <w:rFonts w:ascii="Century Gothic" w:hAnsi="Century Gothic"/>
        <w:sz w:val="18"/>
        <w:szCs w:val="18"/>
      </w:rPr>
      <w:tab/>
    </w:r>
    <w:r w:rsidR="00F5623D">
      <w:rPr>
        <w:rFonts w:ascii="Century Gothic" w:hAnsi="Century Gothic"/>
        <w:sz w:val="18"/>
        <w:szCs w:val="18"/>
      </w:rPr>
      <w:tab/>
    </w:r>
    <w:r w:rsidR="00F5623D">
      <w:rPr>
        <w:rFonts w:ascii="Century Gothic" w:hAnsi="Century Gothic"/>
        <w:sz w:val="18"/>
        <w:szCs w:val="18"/>
      </w:rPr>
      <w:tab/>
    </w:r>
    <w:r w:rsidR="00F5623D" w:rsidRPr="00FB2F1E">
      <w:rPr>
        <w:rFonts w:ascii="Century Gothic" w:hAnsi="Century Gothic"/>
        <w:sz w:val="18"/>
        <w:szCs w:val="18"/>
      </w:rPr>
      <w:t xml:space="preserve">Page </w:t>
    </w:r>
    <w:r w:rsidR="00F5623D" w:rsidRPr="00FB2F1E">
      <w:rPr>
        <w:rStyle w:val="PageNumber"/>
        <w:rFonts w:ascii="Century Gothic" w:hAnsi="Century Gothic"/>
        <w:sz w:val="18"/>
        <w:szCs w:val="18"/>
      </w:rPr>
      <w:fldChar w:fldCharType="begin"/>
    </w:r>
    <w:r w:rsidR="00F5623D" w:rsidRPr="00FB2F1E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F5623D" w:rsidRPr="00FB2F1E">
      <w:rPr>
        <w:rStyle w:val="PageNumber"/>
        <w:rFonts w:ascii="Century Gothic" w:hAnsi="Century Gothic"/>
        <w:sz w:val="18"/>
        <w:szCs w:val="18"/>
      </w:rPr>
      <w:fldChar w:fldCharType="separate"/>
    </w:r>
    <w:r w:rsidR="00410EC2">
      <w:rPr>
        <w:rStyle w:val="PageNumber"/>
        <w:rFonts w:ascii="Century Gothic" w:hAnsi="Century Gothic"/>
        <w:noProof/>
        <w:sz w:val="18"/>
        <w:szCs w:val="18"/>
      </w:rPr>
      <w:t>1</w:t>
    </w:r>
    <w:r w:rsidR="00F5623D" w:rsidRPr="00FB2F1E">
      <w:rPr>
        <w:rStyle w:val="PageNumber"/>
        <w:rFonts w:ascii="Century Gothic" w:hAnsi="Century Gothic"/>
        <w:sz w:val="18"/>
        <w:szCs w:val="18"/>
      </w:rPr>
      <w:fldChar w:fldCharType="end"/>
    </w:r>
    <w:r w:rsidR="00F5623D" w:rsidRPr="00FB2F1E">
      <w:rPr>
        <w:rStyle w:val="PageNumber"/>
        <w:rFonts w:ascii="Century Gothic" w:hAnsi="Century Gothic"/>
        <w:sz w:val="18"/>
        <w:szCs w:val="18"/>
      </w:rPr>
      <w:t xml:space="preserve"> of </w:t>
    </w:r>
    <w:r w:rsidR="00F5623D">
      <w:rPr>
        <w:rStyle w:val="PageNumber"/>
        <w:rFonts w:ascii="Century Gothic" w:hAnsi="Century Gothic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B379" w14:textId="77777777" w:rsidR="00F83220" w:rsidRDefault="00F83220" w:rsidP="00F5623D">
      <w:r>
        <w:separator/>
      </w:r>
    </w:p>
  </w:footnote>
  <w:footnote w:type="continuationSeparator" w:id="0">
    <w:p w14:paraId="3564D11C" w14:textId="77777777" w:rsidR="00F83220" w:rsidRDefault="00F83220" w:rsidP="00F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5E4B" w14:textId="5E22C7E6" w:rsidR="00F5623D" w:rsidRDefault="00377B0E">
    <w:pPr>
      <w:pStyle w:val="Header"/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 w:rsidR="00410EC2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F5623D">
      <w:rPr>
        <w:rFonts w:ascii="Century Gothic" w:hAnsi="Century Gothic"/>
        <w:b/>
        <w:color w:val="FFFFFF"/>
        <w:sz w:val="36"/>
        <w:szCs w:val="36"/>
      </w:rPr>
      <w:tab/>
    </w:r>
    <w:r w:rsidR="00F5623D">
      <w:rPr>
        <w:rFonts w:ascii="Century Gothic" w:hAnsi="Century Gothic"/>
        <w:b/>
        <w:color w:val="FFFFFF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8CD2A4"/>
    <w:multiLevelType w:val="singleLevel"/>
    <w:tmpl w:val="47E90EDB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DDB9DB6D"/>
    <w:multiLevelType w:val="singleLevel"/>
    <w:tmpl w:val="DABF9909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F3025BFC"/>
    <w:multiLevelType w:val="singleLevel"/>
    <w:tmpl w:val="6B62107C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02A1FE20"/>
    <w:multiLevelType w:val="singleLevel"/>
    <w:tmpl w:val="E79D5506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1170433A"/>
    <w:multiLevelType w:val="singleLevel"/>
    <w:tmpl w:val="3ECA06FA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7C1627C9"/>
    <w:multiLevelType w:val="singleLevel"/>
    <w:tmpl w:val="21525DBF"/>
    <w:lvl w:ilvl="0">
      <w:numFmt w:val="decimal"/>
      <w:lvlText w:val="•"/>
      <w:lvlJc w:val="left"/>
      <w:rPr>
        <w:rFonts w:cs="Times New Roman"/>
      </w:rPr>
    </w:lvl>
  </w:abstractNum>
  <w:num w:numId="1" w16cid:durableId="546994019">
    <w:abstractNumId w:val="5"/>
  </w:num>
  <w:num w:numId="2" w16cid:durableId="486559949">
    <w:abstractNumId w:val="0"/>
  </w:num>
  <w:num w:numId="3" w16cid:durableId="525824506">
    <w:abstractNumId w:val="4"/>
  </w:num>
  <w:num w:numId="4" w16cid:durableId="629551372">
    <w:abstractNumId w:val="2"/>
  </w:num>
  <w:num w:numId="5" w16cid:durableId="1070274581">
    <w:abstractNumId w:val="1"/>
  </w:num>
  <w:num w:numId="6" w16cid:durableId="582302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1"/>
    <w:rsid w:val="000830C8"/>
    <w:rsid w:val="000B587D"/>
    <w:rsid w:val="00134403"/>
    <w:rsid w:val="00150DDE"/>
    <w:rsid w:val="0022030B"/>
    <w:rsid w:val="00226DFA"/>
    <w:rsid w:val="00236FC1"/>
    <w:rsid w:val="002C50B0"/>
    <w:rsid w:val="00377B0E"/>
    <w:rsid w:val="00410EC2"/>
    <w:rsid w:val="00461736"/>
    <w:rsid w:val="00520B7B"/>
    <w:rsid w:val="00600275"/>
    <w:rsid w:val="00663115"/>
    <w:rsid w:val="00717E5F"/>
    <w:rsid w:val="008316EA"/>
    <w:rsid w:val="008400BF"/>
    <w:rsid w:val="008F7C83"/>
    <w:rsid w:val="00A47108"/>
    <w:rsid w:val="00B168C9"/>
    <w:rsid w:val="00B24935"/>
    <w:rsid w:val="00B678D0"/>
    <w:rsid w:val="00BF002D"/>
    <w:rsid w:val="00CA6612"/>
    <w:rsid w:val="00CF1FDC"/>
    <w:rsid w:val="00D11073"/>
    <w:rsid w:val="00D8709C"/>
    <w:rsid w:val="00E34412"/>
    <w:rsid w:val="00E9178E"/>
    <w:rsid w:val="00ED0BF9"/>
    <w:rsid w:val="00F5623D"/>
    <w:rsid w:val="00F83220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2D0E4"/>
  <w15:docId w15:val="{AB1E7EE0-A2F3-4C62-A5C9-0CF9D30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62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3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62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3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2024-08-28T13:52:00Z</dcterms:created>
  <dcterms:modified xsi:type="dcterms:W3CDTF">2024-08-28T13:52:00Z</dcterms:modified>
</cp:coreProperties>
</file>