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9D15A" w14:textId="19D7E45A" w:rsidR="00C24017" w:rsidRDefault="004B443E" w:rsidP="008A69A2">
      <w:pPr>
        <w:rPr>
          <w:rFonts w:ascii="Century Gothic" w:hAnsi="Century Gothic"/>
          <w:b/>
          <w:color w:val="4DA595"/>
          <w:sz w:val="32"/>
          <w:szCs w:val="32"/>
        </w:rPr>
      </w:pPr>
      <w:r w:rsidRPr="004B443E">
        <w:rPr>
          <w:rFonts w:ascii="Century Gothic" w:hAnsi="Century Gothic"/>
          <w:b/>
          <w:color w:val="4DA595"/>
          <w:sz w:val="32"/>
          <w:szCs w:val="32"/>
        </w:rPr>
        <w:t>Risk Profile Outcome</w:t>
      </w:r>
    </w:p>
    <w:tbl>
      <w:tblPr>
        <w:tblpPr w:leftFromText="180" w:rightFromText="180" w:vertAnchor="page" w:horzAnchor="margin" w:tblpY="2386"/>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2450"/>
        <w:gridCol w:w="6397"/>
      </w:tblGrid>
      <w:tr w:rsidR="008A69A2" w:rsidRPr="000C42E1" w14:paraId="403BF4F0" w14:textId="77777777" w:rsidTr="008A69A2">
        <w:trPr>
          <w:trHeight w:hRule="exact" w:val="340"/>
        </w:trPr>
        <w:tc>
          <w:tcPr>
            <w:tcW w:w="1785" w:type="dxa"/>
            <w:shd w:val="clear" w:color="auto" w:fill="4DA595"/>
          </w:tcPr>
          <w:p w14:paraId="58291683" w14:textId="77777777" w:rsidR="008A69A2" w:rsidRPr="000C42E1" w:rsidRDefault="008A69A2" w:rsidP="008A69A2">
            <w:pPr>
              <w:spacing w:after="0"/>
              <w:rPr>
                <w:rFonts w:ascii="Century Gothic" w:hAnsi="Century Gothic"/>
                <w:color w:val="4DA595"/>
              </w:rPr>
            </w:pPr>
          </w:p>
        </w:tc>
        <w:tc>
          <w:tcPr>
            <w:tcW w:w="2450" w:type="dxa"/>
            <w:shd w:val="clear" w:color="auto" w:fill="4DA595"/>
          </w:tcPr>
          <w:p w14:paraId="3B518D83" w14:textId="77777777" w:rsidR="008A69A2" w:rsidRPr="000C42E1" w:rsidRDefault="008A69A2" w:rsidP="008A69A2">
            <w:pPr>
              <w:rPr>
                <w:rFonts w:ascii="Century Gothic" w:hAnsi="Century Gothic"/>
                <w:color w:val="4DA595"/>
              </w:rPr>
            </w:pPr>
          </w:p>
        </w:tc>
        <w:tc>
          <w:tcPr>
            <w:tcW w:w="6397" w:type="dxa"/>
            <w:shd w:val="clear" w:color="auto" w:fill="4DA595"/>
          </w:tcPr>
          <w:p w14:paraId="42AE9FF9" w14:textId="77777777" w:rsidR="008A69A2" w:rsidRPr="000C42E1" w:rsidRDefault="008A69A2" w:rsidP="008A69A2">
            <w:pPr>
              <w:tabs>
                <w:tab w:val="left" w:pos="1176"/>
              </w:tabs>
              <w:rPr>
                <w:rFonts w:ascii="Century Gothic" w:hAnsi="Century Gothic"/>
                <w:color w:val="4DA595"/>
              </w:rPr>
            </w:pPr>
          </w:p>
        </w:tc>
      </w:tr>
      <w:tr w:rsidR="008A69A2" w:rsidRPr="000C42E1" w14:paraId="61C85834" w14:textId="77777777" w:rsidTr="008A69A2">
        <w:trPr>
          <w:trHeight w:val="734"/>
        </w:trPr>
        <w:tc>
          <w:tcPr>
            <w:tcW w:w="1785" w:type="dxa"/>
            <w:shd w:val="clear" w:color="auto" w:fill="auto"/>
          </w:tcPr>
          <w:p w14:paraId="57308117" w14:textId="77777777" w:rsidR="008A69A2" w:rsidRPr="000C42E1" w:rsidRDefault="008A69A2" w:rsidP="008A69A2">
            <w:pPr>
              <w:spacing w:after="0"/>
              <w:rPr>
                <w:rFonts w:ascii="Century Gothic" w:hAnsi="Century Gothic"/>
                <w:b/>
                <w:color w:val="4DA595"/>
              </w:rPr>
            </w:pPr>
          </w:p>
          <w:p w14:paraId="7AD52A64" w14:textId="77777777" w:rsidR="008A69A2" w:rsidRPr="000C42E1" w:rsidRDefault="008A69A2" w:rsidP="008A69A2">
            <w:pPr>
              <w:spacing w:after="0"/>
              <w:jc w:val="right"/>
              <w:rPr>
                <w:rFonts w:ascii="Century Gothic" w:hAnsi="Century Gothic"/>
                <w:b/>
                <w:color w:val="4DA595"/>
              </w:rPr>
            </w:pPr>
            <w:r w:rsidRPr="000C42E1">
              <w:rPr>
                <w:rFonts w:ascii="Century Gothic" w:hAnsi="Century Gothic"/>
                <w:b/>
                <w:color w:val="4DA595"/>
              </w:rPr>
              <w:t>Need to take risk:</w:t>
            </w:r>
          </w:p>
        </w:tc>
        <w:tc>
          <w:tcPr>
            <w:tcW w:w="2450" w:type="dxa"/>
            <w:shd w:val="clear" w:color="auto" w:fill="auto"/>
          </w:tcPr>
          <w:p w14:paraId="5EC832C4" w14:textId="77777777" w:rsidR="008A69A2" w:rsidRPr="000C42E1" w:rsidRDefault="008A69A2" w:rsidP="008A69A2">
            <w:pPr>
              <w:jc w:val="center"/>
              <w:rPr>
                <w:rFonts w:ascii="Century Gothic" w:hAnsi="Century Gothic"/>
                <w:color w:val="4DA595"/>
              </w:rPr>
            </w:pPr>
            <w:r w:rsidRPr="000C42E1">
              <w:rPr>
                <w:rFonts w:ascii="Century Gothic" w:hAnsi="Century Gothic"/>
                <w:b/>
                <w:color w:val="4DA595"/>
              </w:rPr>
              <w:t>Grading (High/medium/low)</w:t>
            </w:r>
          </w:p>
        </w:tc>
        <w:tc>
          <w:tcPr>
            <w:tcW w:w="6397" w:type="dxa"/>
            <w:shd w:val="clear" w:color="auto" w:fill="auto"/>
          </w:tcPr>
          <w:p w14:paraId="41506D88" w14:textId="77777777" w:rsidR="008A69A2" w:rsidRPr="000C42E1" w:rsidRDefault="008A69A2" w:rsidP="008A69A2">
            <w:pPr>
              <w:rPr>
                <w:rFonts w:ascii="Century Gothic" w:hAnsi="Century Gothic"/>
                <w:color w:val="4DA595"/>
              </w:rPr>
            </w:pPr>
            <w:r w:rsidRPr="000C42E1">
              <w:rPr>
                <w:rFonts w:ascii="Century Gothic" w:hAnsi="Century Gothic" w:cs="Calibri"/>
                <w:b/>
                <w:bCs/>
                <w:iCs/>
                <w:color w:val="4DA595"/>
              </w:rPr>
              <w:t xml:space="preserve">Adviser </w:t>
            </w:r>
            <w:commentRangeStart w:id="0"/>
            <w:r w:rsidRPr="000C42E1">
              <w:rPr>
                <w:rFonts w:ascii="Century Gothic" w:hAnsi="Century Gothic" w:cs="Calibri"/>
                <w:b/>
                <w:bCs/>
                <w:iCs/>
                <w:color w:val="4DA595"/>
              </w:rPr>
              <w:t>assessment</w:t>
            </w:r>
            <w:commentRangeEnd w:id="0"/>
            <w:r w:rsidRPr="000C42E1">
              <w:rPr>
                <w:rStyle w:val="CommentReference"/>
                <w:rFonts w:ascii="Century Gothic" w:hAnsi="Century Gothic"/>
                <w:color w:val="4DA595"/>
                <w:sz w:val="22"/>
                <w:szCs w:val="22"/>
              </w:rPr>
              <w:commentReference w:id="0"/>
            </w:r>
          </w:p>
          <w:p w14:paraId="4586DC90" w14:textId="77777777" w:rsidR="008A69A2" w:rsidRPr="000C42E1" w:rsidRDefault="008A69A2" w:rsidP="008A69A2">
            <w:pPr>
              <w:rPr>
                <w:rFonts w:ascii="Century Gothic" w:hAnsi="Century Gothic"/>
                <w:color w:val="4DA595"/>
              </w:rPr>
            </w:pPr>
          </w:p>
        </w:tc>
      </w:tr>
      <w:tr w:rsidR="008A69A2" w:rsidRPr="000C42E1" w14:paraId="6BCB0209" w14:textId="77777777" w:rsidTr="008A69A2">
        <w:tc>
          <w:tcPr>
            <w:tcW w:w="1785" w:type="dxa"/>
            <w:shd w:val="clear" w:color="auto" w:fill="auto"/>
          </w:tcPr>
          <w:p w14:paraId="5DEC9F33" w14:textId="77777777" w:rsidR="008A69A2" w:rsidRPr="000C42E1" w:rsidRDefault="008A69A2" w:rsidP="008A69A2">
            <w:pPr>
              <w:spacing w:after="0"/>
              <w:jc w:val="right"/>
              <w:rPr>
                <w:rFonts w:ascii="Century Gothic" w:hAnsi="Century Gothic"/>
                <w:b/>
                <w:color w:val="4DA595"/>
              </w:rPr>
            </w:pPr>
          </w:p>
          <w:p w14:paraId="59A45F56" w14:textId="77777777" w:rsidR="008A69A2" w:rsidRPr="000C42E1" w:rsidRDefault="008A69A2" w:rsidP="008A69A2">
            <w:pPr>
              <w:spacing w:after="0"/>
              <w:jc w:val="right"/>
              <w:rPr>
                <w:rFonts w:ascii="Century Gothic" w:hAnsi="Century Gothic"/>
                <w:b/>
                <w:color w:val="4DA595"/>
              </w:rPr>
            </w:pPr>
            <w:r w:rsidRPr="000C42E1">
              <w:rPr>
                <w:rFonts w:ascii="Century Gothic" w:hAnsi="Century Gothic"/>
                <w:b/>
                <w:color w:val="4DA595"/>
              </w:rPr>
              <w:t>Capacity for loss:</w:t>
            </w:r>
          </w:p>
          <w:p w14:paraId="11EA5118" w14:textId="77777777" w:rsidR="008A69A2" w:rsidRPr="000C42E1" w:rsidRDefault="008A69A2" w:rsidP="008A69A2">
            <w:pPr>
              <w:spacing w:after="0"/>
              <w:jc w:val="right"/>
              <w:rPr>
                <w:rFonts w:ascii="Century Gothic" w:hAnsi="Century Gothic"/>
                <w:b/>
                <w:color w:val="4DA595"/>
              </w:rPr>
            </w:pPr>
          </w:p>
        </w:tc>
        <w:tc>
          <w:tcPr>
            <w:tcW w:w="2450" w:type="dxa"/>
            <w:shd w:val="clear" w:color="auto" w:fill="auto"/>
          </w:tcPr>
          <w:p w14:paraId="6535B9F1" w14:textId="77777777" w:rsidR="008A69A2" w:rsidRPr="000C42E1" w:rsidRDefault="008A69A2" w:rsidP="008A69A2">
            <w:pPr>
              <w:jc w:val="center"/>
              <w:rPr>
                <w:rFonts w:ascii="Century Gothic" w:hAnsi="Century Gothic"/>
                <w:color w:val="4DA595"/>
              </w:rPr>
            </w:pPr>
            <w:r w:rsidRPr="000C42E1">
              <w:rPr>
                <w:rFonts w:ascii="Century Gothic" w:hAnsi="Century Gothic"/>
                <w:b/>
                <w:color w:val="4DA595"/>
              </w:rPr>
              <w:t>Grading (High/medium/low)</w:t>
            </w:r>
          </w:p>
        </w:tc>
        <w:tc>
          <w:tcPr>
            <w:tcW w:w="6397" w:type="dxa"/>
            <w:shd w:val="clear" w:color="auto" w:fill="auto"/>
          </w:tcPr>
          <w:p w14:paraId="592B438B" w14:textId="77777777" w:rsidR="008A69A2" w:rsidRPr="000C42E1" w:rsidRDefault="008A69A2" w:rsidP="008A69A2">
            <w:pPr>
              <w:rPr>
                <w:rFonts w:ascii="Century Gothic" w:hAnsi="Century Gothic"/>
                <w:color w:val="4DA595"/>
              </w:rPr>
            </w:pPr>
            <w:r w:rsidRPr="000C42E1">
              <w:rPr>
                <w:rFonts w:ascii="Century Gothic" w:hAnsi="Century Gothic" w:cs="Calibri"/>
                <w:b/>
                <w:bCs/>
                <w:iCs/>
                <w:color w:val="4DA595"/>
              </w:rPr>
              <w:t xml:space="preserve">Adviser </w:t>
            </w:r>
            <w:commentRangeStart w:id="1"/>
            <w:r w:rsidRPr="000C42E1">
              <w:rPr>
                <w:rFonts w:ascii="Century Gothic" w:hAnsi="Century Gothic" w:cs="Calibri"/>
                <w:b/>
                <w:bCs/>
                <w:iCs/>
                <w:color w:val="4DA595"/>
              </w:rPr>
              <w:t>assessment</w:t>
            </w:r>
            <w:commentRangeEnd w:id="1"/>
            <w:r w:rsidRPr="000C42E1">
              <w:rPr>
                <w:rStyle w:val="CommentReference"/>
                <w:rFonts w:ascii="Century Gothic" w:hAnsi="Century Gothic"/>
                <w:color w:val="4DA595"/>
                <w:sz w:val="22"/>
                <w:szCs w:val="22"/>
              </w:rPr>
              <w:commentReference w:id="1"/>
            </w:r>
          </w:p>
        </w:tc>
      </w:tr>
      <w:tr w:rsidR="008A69A2" w:rsidRPr="000C42E1" w14:paraId="7357F4A7" w14:textId="77777777" w:rsidTr="008A69A2">
        <w:tc>
          <w:tcPr>
            <w:tcW w:w="1785" w:type="dxa"/>
            <w:shd w:val="clear" w:color="auto" w:fill="auto"/>
          </w:tcPr>
          <w:p w14:paraId="661A0B9A" w14:textId="77777777" w:rsidR="008A69A2" w:rsidRPr="000C42E1" w:rsidRDefault="008A69A2" w:rsidP="008A69A2">
            <w:pPr>
              <w:spacing w:after="0"/>
              <w:jc w:val="right"/>
              <w:rPr>
                <w:rFonts w:ascii="Century Gothic" w:hAnsi="Century Gothic"/>
                <w:b/>
                <w:color w:val="4DA595"/>
              </w:rPr>
            </w:pPr>
          </w:p>
          <w:p w14:paraId="103C085C" w14:textId="77777777" w:rsidR="008A69A2" w:rsidRPr="000C42E1" w:rsidRDefault="008A69A2" w:rsidP="008A69A2">
            <w:pPr>
              <w:spacing w:after="0"/>
              <w:jc w:val="right"/>
              <w:rPr>
                <w:rFonts w:ascii="Century Gothic" w:hAnsi="Century Gothic"/>
                <w:b/>
                <w:color w:val="4DA595"/>
              </w:rPr>
            </w:pPr>
            <w:r w:rsidRPr="000C42E1">
              <w:rPr>
                <w:rFonts w:ascii="Century Gothic" w:hAnsi="Century Gothic"/>
                <w:b/>
                <w:color w:val="4DA595"/>
              </w:rPr>
              <w:t>Attitude to risk:</w:t>
            </w:r>
          </w:p>
          <w:p w14:paraId="6A197D19" w14:textId="77777777" w:rsidR="008A69A2" w:rsidRPr="000C42E1" w:rsidRDefault="008A69A2" w:rsidP="008A69A2">
            <w:pPr>
              <w:spacing w:after="0"/>
              <w:jc w:val="right"/>
              <w:rPr>
                <w:rFonts w:ascii="Century Gothic" w:hAnsi="Century Gothic"/>
                <w:b/>
                <w:color w:val="4DA595"/>
              </w:rPr>
            </w:pPr>
          </w:p>
        </w:tc>
        <w:tc>
          <w:tcPr>
            <w:tcW w:w="2450" w:type="dxa"/>
            <w:shd w:val="clear" w:color="auto" w:fill="auto"/>
          </w:tcPr>
          <w:p w14:paraId="6EE11374" w14:textId="77777777" w:rsidR="008A69A2" w:rsidRPr="000C42E1" w:rsidRDefault="008A69A2" w:rsidP="008A69A2">
            <w:pPr>
              <w:spacing w:after="0"/>
              <w:jc w:val="center"/>
              <w:rPr>
                <w:rFonts w:ascii="Century Gothic" w:hAnsi="Century Gothic"/>
                <w:b/>
                <w:color w:val="4DA595"/>
              </w:rPr>
            </w:pPr>
            <w:r w:rsidRPr="000C42E1">
              <w:rPr>
                <w:rFonts w:ascii="Century Gothic" w:hAnsi="Century Gothic"/>
                <w:b/>
                <w:color w:val="4DA595"/>
              </w:rPr>
              <w:t>Grading</w:t>
            </w:r>
          </w:p>
          <w:p w14:paraId="4BB42E25" w14:textId="77777777" w:rsidR="008A69A2" w:rsidRPr="000C42E1" w:rsidRDefault="008A69A2" w:rsidP="008A69A2">
            <w:pPr>
              <w:spacing w:after="0"/>
              <w:jc w:val="center"/>
              <w:rPr>
                <w:rFonts w:ascii="Century Gothic" w:hAnsi="Century Gothic"/>
                <w:b/>
                <w:color w:val="4DA595"/>
              </w:rPr>
            </w:pPr>
            <w:r w:rsidRPr="000C42E1">
              <w:rPr>
                <w:rFonts w:ascii="Century Gothic" w:hAnsi="Century Gothic"/>
                <w:b/>
                <w:color w:val="4DA595"/>
              </w:rPr>
              <w:t>(Per risk categories)</w:t>
            </w:r>
          </w:p>
        </w:tc>
        <w:tc>
          <w:tcPr>
            <w:tcW w:w="6397" w:type="dxa"/>
            <w:shd w:val="clear" w:color="auto" w:fill="auto"/>
          </w:tcPr>
          <w:p w14:paraId="5A5B1596" w14:textId="77777777" w:rsidR="008A69A2" w:rsidRPr="000C42E1" w:rsidRDefault="008A69A2" w:rsidP="008A69A2">
            <w:pPr>
              <w:rPr>
                <w:rFonts w:ascii="Century Gothic" w:hAnsi="Century Gothic"/>
                <w:color w:val="4DA595"/>
              </w:rPr>
            </w:pPr>
            <w:r w:rsidRPr="000C42E1">
              <w:rPr>
                <w:rFonts w:ascii="Century Gothic" w:hAnsi="Century Gothic" w:cs="Calibri"/>
                <w:b/>
                <w:bCs/>
                <w:iCs/>
                <w:color w:val="4DA595"/>
              </w:rPr>
              <w:t xml:space="preserve">Client(s) declared emotional risk </w:t>
            </w:r>
            <w:commentRangeStart w:id="2"/>
            <w:r w:rsidRPr="000C42E1">
              <w:rPr>
                <w:rFonts w:ascii="Century Gothic" w:hAnsi="Century Gothic" w:cs="Calibri"/>
                <w:b/>
                <w:bCs/>
                <w:iCs/>
                <w:color w:val="4DA595"/>
              </w:rPr>
              <w:t>tolerance</w:t>
            </w:r>
            <w:commentRangeEnd w:id="2"/>
            <w:r w:rsidRPr="000C42E1">
              <w:rPr>
                <w:rStyle w:val="CommentReference"/>
                <w:rFonts w:ascii="Century Gothic" w:hAnsi="Century Gothic"/>
                <w:color w:val="4DA595"/>
                <w:sz w:val="22"/>
                <w:szCs w:val="22"/>
              </w:rPr>
              <w:commentReference w:id="2"/>
            </w:r>
          </w:p>
        </w:tc>
      </w:tr>
      <w:tr w:rsidR="008A69A2" w:rsidRPr="000C42E1" w14:paraId="2E97A3AA" w14:textId="77777777" w:rsidTr="008A69A2">
        <w:trPr>
          <w:trHeight w:hRule="exact" w:val="340"/>
        </w:trPr>
        <w:tc>
          <w:tcPr>
            <w:tcW w:w="1785" w:type="dxa"/>
            <w:shd w:val="clear" w:color="auto" w:fill="4DA595"/>
          </w:tcPr>
          <w:p w14:paraId="1051B0B8" w14:textId="77777777" w:rsidR="008A69A2" w:rsidRPr="000C42E1" w:rsidRDefault="008A69A2" w:rsidP="008A69A2">
            <w:pPr>
              <w:spacing w:after="0"/>
              <w:jc w:val="right"/>
              <w:rPr>
                <w:rFonts w:ascii="Century Gothic" w:hAnsi="Century Gothic"/>
                <w:b/>
                <w:color w:val="4DA595"/>
              </w:rPr>
            </w:pPr>
          </w:p>
        </w:tc>
        <w:tc>
          <w:tcPr>
            <w:tcW w:w="2450" w:type="dxa"/>
            <w:shd w:val="clear" w:color="auto" w:fill="4DA595"/>
          </w:tcPr>
          <w:p w14:paraId="28F534AC" w14:textId="77777777" w:rsidR="008A69A2" w:rsidRPr="000C42E1" w:rsidRDefault="008A69A2" w:rsidP="008A69A2">
            <w:pPr>
              <w:jc w:val="center"/>
              <w:rPr>
                <w:rFonts w:ascii="Century Gothic" w:hAnsi="Century Gothic"/>
                <w:color w:val="4DA595"/>
              </w:rPr>
            </w:pPr>
          </w:p>
        </w:tc>
        <w:tc>
          <w:tcPr>
            <w:tcW w:w="6397" w:type="dxa"/>
            <w:shd w:val="clear" w:color="auto" w:fill="4DA595"/>
          </w:tcPr>
          <w:p w14:paraId="61F27C4E" w14:textId="77777777" w:rsidR="008A69A2" w:rsidRPr="000C42E1" w:rsidRDefault="008A69A2" w:rsidP="008A69A2">
            <w:pPr>
              <w:rPr>
                <w:rFonts w:ascii="Century Gothic" w:hAnsi="Century Gothic"/>
                <w:color w:val="4DA595"/>
              </w:rPr>
            </w:pPr>
          </w:p>
        </w:tc>
      </w:tr>
      <w:tr w:rsidR="008A69A2" w:rsidRPr="000C42E1" w14:paraId="6C0CC255" w14:textId="77777777" w:rsidTr="008A69A2">
        <w:trPr>
          <w:trHeight w:val="2587"/>
        </w:trPr>
        <w:tc>
          <w:tcPr>
            <w:tcW w:w="1785" w:type="dxa"/>
            <w:shd w:val="clear" w:color="auto" w:fill="auto"/>
          </w:tcPr>
          <w:p w14:paraId="0A6E76BF" w14:textId="77777777" w:rsidR="008A69A2" w:rsidRPr="000C42E1" w:rsidRDefault="008A69A2" w:rsidP="008A69A2">
            <w:pPr>
              <w:spacing w:after="0"/>
              <w:jc w:val="right"/>
              <w:rPr>
                <w:rFonts w:ascii="Century Gothic" w:hAnsi="Century Gothic"/>
                <w:b/>
                <w:color w:val="4DA595"/>
              </w:rPr>
            </w:pPr>
            <w:r w:rsidRPr="000C42E1">
              <w:rPr>
                <w:rFonts w:ascii="Century Gothic" w:hAnsi="Century Gothic"/>
                <w:b/>
                <w:color w:val="4DA595"/>
              </w:rPr>
              <w:t xml:space="preserve">                Outcome:</w:t>
            </w:r>
          </w:p>
          <w:p w14:paraId="4ACE2386" w14:textId="77777777" w:rsidR="008A69A2" w:rsidRPr="000C42E1" w:rsidRDefault="008A69A2" w:rsidP="008A69A2">
            <w:pPr>
              <w:spacing w:after="0"/>
              <w:jc w:val="right"/>
              <w:rPr>
                <w:rFonts w:ascii="Century Gothic" w:hAnsi="Century Gothic"/>
                <w:b/>
                <w:color w:val="4DA595"/>
              </w:rPr>
            </w:pPr>
          </w:p>
          <w:p w14:paraId="6135B6FA" w14:textId="77777777" w:rsidR="008A69A2" w:rsidRPr="000C42E1" w:rsidRDefault="008A69A2" w:rsidP="008A69A2">
            <w:pPr>
              <w:spacing w:after="0"/>
              <w:rPr>
                <w:rFonts w:ascii="Century Gothic" w:hAnsi="Century Gothic"/>
                <w:b/>
                <w:color w:val="4DA595"/>
              </w:rPr>
            </w:pPr>
          </w:p>
        </w:tc>
        <w:tc>
          <w:tcPr>
            <w:tcW w:w="2450" w:type="dxa"/>
            <w:shd w:val="clear" w:color="auto" w:fill="auto"/>
          </w:tcPr>
          <w:p w14:paraId="64B972DA" w14:textId="77777777" w:rsidR="008A69A2" w:rsidRPr="000C42E1" w:rsidRDefault="008A69A2" w:rsidP="008A69A2">
            <w:pPr>
              <w:spacing w:after="0"/>
              <w:jc w:val="center"/>
              <w:rPr>
                <w:rFonts w:ascii="Century Gothic" w:hAnsi="Century Gothic"/>
                <w:b/>
                <w:color w:val="4DA595"/>
              </w:rPr>
            </w:pPr>
            <w:r w:rsidRPr="000C42E1">
              <w:rPr>
                <w:rFonts w:ascii="Century Gothic" w:hAnsi="Century Gothic"/>
                <w:b/>
                <w:color w:val="4DA595"/>
              </w:rPr>
              <w:t>Grading</w:t>
            </w:r>
          </w:p>
          <w:p w14:paraId="397813D3" w14:textId="77777777" w:rsidR="008A69A2" w:rsidRPr="000C42E1" w:rsidRDefault="008A69A2" w:rsidP="008A69A2">
            <w:pPr>
              <w:spacing w:after="0"/>
              <w:jc w:val="center"/>
              <w:rPr>
                <w:rFonts w:ascii="Century Gothic" w:hAnsi="Century Gothic"/>
                <w:b/>
                <w:color w:val="4DA595"/>
              </w:rPr>
            </w:pPr>
            <w:r w:rsidRPr="000C42E1">
              <w:rPr>
                <w:rFonts w:ascii="Century Gothic" w:hAnsi="Century Gothic"/>
                <w:b/>
                <w:color w:val="4DA595"/>
              </w:rPr>
              <w:t>(Per risk categories)</w:t>
            </w:r>
          </w:p>
        </w:tc>
        <w:tc>
          <w:tcPr>
            <w:tcW w:w="6397" w:type="dxa"/>
            <w:shd w:val="clear" w:color="auto" w:fill="auto"/>
          </w:tcPr>
          <w:p w14:paraId="4E9D5E71" w14:textId="77777777" w:rsidR="008A69A2" w:rsidRPr="000C42E1" w:rsidRDefault="008A69A2" w:rsidP="008A69A2">
            <w:pPr>
              <w:autoSpaceDE w:val="0"/>
              <w:autoSpaceDN w:val="0"/>
              <w:adjustRightInd w:val="0"/>
              <w:spacing w:after="0" w:line="240" w:lineRule="auto"/>
              <w:rPr>
                <w:rFonts w:ascii="Century Gothic" w:hAnsi="Century Gothic" w:cs="Calibri"/>
                <w:b/>
                <w:bCs/>
                <w:iCs/>
                <w:color w:val="4DA595"/>
              </w:rPr>
            </w:pPr>
            <w:r w:rsidRPr="000C42E1">
              <w:rPr>
                <w:rFonts w:ascii="Century Gothic" w:hAnsi="Century Gothic" w:cs="Calibri"/>
                <w:b/>
                <w:bCs/>
                <w:iCs/>
                <w:color w:val="4DA595"/>
              </w:rPr>
              <w:t xml:space="preserve">Ensure that where attitude to risk does not equal capacity for loss detailed notes are provided explaining final </w:t>
            </w:r>
            <w:commentRangeStart w:id="3"/>
            <w:r w:rsidRPr="000C42E1">
              <w:rPr>
                <w:rFonts w:ascii="Century Gothic" w:hAnsi="Century Gothic" w:cs="Calibri"/>
                <w:b/>
                <w:bCs/>
                <w:iCs/>
                <w:color w:val="4DA595"/>
              </w:rPr>
              <w:t>recommendation</w:t>
            </w:r>
            <w:commentRangeEnd w:id="3"/>
            <w:r w:rsidRPr="000C42E1">
              <w:rPr>
                <w:rStyle w:val="CommentReference"/>
                <w:rFonts w:ascii="Century Gothic" w:hAnsi="Century Gothic"/>
                <w:color w:val="4DA595"/>
                <w:sz w:val="22"/>
                <w:szCs w:val="22"/>
              </w:rPr>
              <w:commentReference w:id="3"/>
            </w:r>
            <w:r w:rsidRPr="000C42E1">
              <w:rPr>
                <w:rFonts w:ascii="Century Gothic" w:hAnsi="Century Gothic" w:cs="Calibri"/>
                <w:b/>
                <w:bCs/>
                <w:iCs/>
                <w:color w:val="4DA595"/>
              </w:rPr>
              <w:t>:</w:t>
            </w:r>
          </w:p>
          <w:p w14:paraId="063CF842" w14:textId="77777777" w:rsidR="008A69A2" w:rsidRPr="000C42E1" w:rsidRDefault="008A69A2" w:rsidP="008A69A2">
            <w:pPr>
              <w:autoSpaceDE w:val="0"/>
              <w:autoSpaceDN w:val="0"/>
              <w:adjustRightInd w:val="0"/>
              <w:spacing w:after="0" w:line="240" w:lineRule="auto"/>
              <w:rPr>
                <w:rFonts w:ascii="Century Gothic" w:hAnsi="Century Gothic"/>
                <w:color w:val="4DA595"/>
              </w:rPr>
            </w:pPr>
          </w:p>
        </w:tc>
      </w:tr>
      <w:tr w:rsidR="008A69A2" w:rsidRPr="000C42E1" w14:paraId="5CA80D2B" w14:textId="77777777" w:rsidTr="008A69A2">
        <w:trPr>
          <w:trHeight w:hRule="exact" w:val="340"/>
        </w:trPr>
        <w:tc>
          <w:tcPr>
            <w:tcW w:w="1785" w:type="dxa"/>
            <w:shd w:val="clear" w:color="auto" w:fill="4DA595"/>
          </w:tcPr>
          <w:p w14:paraId="40882639" w14:textId="77777777" w:rsidR="008A69A2" w:rsidRPr="000C42E1" w:rsidRDefault="008A69A2" w:rsidP="008A69A2">
            <w:pPr>
              <w:rPr>
                <w:rFonts w:ascii="Century Gothic" w:hAnsi="Century Gothic"/>
              </w:rPr>
            </w:pPr>
          </w:p>
        </w:tc>
        <w:tc>
          <w:tcPr>
            <w:tcW w:w="2450" w:type="dxa"/>
            <w:shd w:val="clear" w:color="auto" w:fill="4DA595"/>
          </w:tcPr>
          <w:p w14:paraId="422F2F8D" w14:textId="77777777" w:rsidR="008A69A2" w:rsidRPr="000C42E1" w:rsidRDefault="008A69A2" w:rsidP="008A69A2">
            <w:pPr>
              <w:rPr>
                <w:rFonts w:ascii="Century Gothic" w:hAnsi="Century Gothic"/>
              </w:rPr>
            </w:pPr>
          </w:p>
        </w:tc>
        <w:tc>
          <w:tcPr>
            <w:tcW w:w="6397" w:type="dxa"/>
            <w:shd w:val="clear" w:color="auto" w:fill="4DA595"/>
          </w:tcPr>
          <w:p w14:paraId="273FFBB5" w14:textId="77777777" w:rsidR="008A69A2" w:rsidRPr="000C42E1" w:rsidRDefault="008A69A2" w:rsidP="008A69A2">
            <w:pPr>
              <w:tabs>
                <w:tab w:val="left" w:pos="1188"/>
              </w:tabs>
              <w:rPr>
                <w:rFonts w:ascii="Century Gothic" w:hAnsi="Century Gothic"/>
              </w:rPr>
            </w:pPr>
            <w:r w:rsidRPr="000C42E1">
              <w:rPr>
                <w:rFonts w:ascii="Century Gothic" w:hAnsi="Century Gothic"/>
              </w:rPr>
              <w:tab/>
            </w:r>
          </w:p>
        </w:tc>
      </w:tr>
    </w:tbl>
    <w:tbl>
      <w:tblPr>
        <w:tblpPr w:leftFromText="180" w:rightFromText="180" w:vertAnchor="page" w:horzAnchor="margin" w:tblpY="10546"/>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8835"/>
      </w:tblGrid>
      <w:tr w:rsidR="008A69A2" w:rsidRPr="000C42E1" w14:paraId="009D1706" w14:textId="77777777" w:rsidTr="008A69A2">
        <w:tc>
          <w:tcPr>
            <w:tcW w:w="1785" w:type="dxa"/>
            <w:tcBorders>
              <w:top w:val="single" w:sz="4" w:space="0" w:color="000000"/>
              <w:left w:val="single" w:sz="4" w:space="0" w:color="000000"/>
              <w:bottom w:val="single" w:sz="4" w:space="0" w:color="000000"/>
              <w:right w:val="single" w:sz="4" w:space="0" w:color="000000"/>
            </w:tcBorders>
            <w:shd w:val="clear" w:color="auto" w:fill="4DA595"/>
          </w:tcPr>
          <w:p w14:paraId="2880E3AC" w14:textId="77777777" w:rsidR="008A69A2" w:rsidRPr="000C42E1" w:rsidRDefault="008A69A2" w:rsidP="008A69A2">
            <w:pPr>
              <w:spacing w:before="240"/>
              <w:jc w:val="right"/>
              <w:rPr>
                <w:rFonts w:ascii="Century Gothic" w:hAnsi="Century Gothic"/>
                <w:b/>
                <w:color w:val="FFFFFF" w:themeColor="background1"/>
              </w:rPr>
            </w:pPr>
            <w:r w:rsidRPr="000C42E1">
              <w:rPr>
                <w:rFonts w:ascii="Century Gothic" w:hAnsi="Century Gothic"/>
                <w:b/>
                <w:color w:val="FFFFFF" w:themeColor="background1"/>
              </w:rPr>
              <w:t>Adviser Signature:</w:t>
            </w:r>
          </w:p>
        </w:tc>
        <w:tc>
          <w:tcPr>
            <w:tcW w:w="8835" w:type="dxa"/>
            <w:tcBorders>
              <w:top w:val="single" w:sz="4" w:space="0" w:color="000000"/>
              <w:left w:val="single" w:sz="4" w:space="0" w:color="000000"/>
              <w:bottom w:val="single" w:sz="4" w:space="0" w:color="000000"/>
              <w:right w:val="single" w:sz="4" w:space="0" w:color="000000"/>
            </w:tcBorders>
            <w:shd w:val="clear" w:color="auto" w:fill="auto"/>
          </w:tcPr>
          <w:p w14:paraId="73AAF59A" w14:textId="77777777" w:rsidR="008A69A2" w:rsidRPr="000C42E1" w:rsidRDefault="008A69A2" w:rsidP="008A69A2">
            <w:pPr>
              <w:spacing w:before="240"/>
              <w:rPr>
                <w:rFonts w:ascii="Century Gothic" w:hAnsi="Century Gothic"/>
                <w:color w:val="1F497D"/>
              </w:rPr>
            </w:pPr>
          </w:p>
        </w:tc>
      </w:tr>
      <w:tr w:rsidR="008A69A2" w:rsidRPr="000C42E1" w14:paraId="1A8A35EA" w14:textId="77777777" w:rsidTr="008A69A2">
        <w:tc>
          <w:tcPr>
            <w:tcW w:w="1785" w:type="dxa"/>
            <w:tcBorders>
              <w:top w:val="single" w:sz="4" w:space="0" w:color="000000"/>
              <w:left w:val="single" w:sz="4" w:space="0" w:color="000000"/>
              <w:bottom w:val="single" w:sz="4" w:space="0" w:color="000000"/>
              <w:right w:val="single" w:sz="4" w:space="0" w:color="000000"/>
            </w:tcBorders>
            <w:shd w:val="clear" w:color="auto" w:fill="4DA595"/>
          </w:tcPr>
          <w:p w14:paraId="2589013F" w14:textId="77777777" w:rsidR="008A69A2" w:rsidRPr="000C42E1" w:rsidRDefault="008A69A2" w:rsidP="008A69A2">
            <w:pPr>
              <w:spacing w:before="240"/>
              <w:jc w:val="right"/>
              <w:rPr>
                <w:rFonts w:ascii="Century Gothic" w:hAnsi="Century Gothic"/>
                <w:b/>
                <w:color w:val="FFFFFF" w:themeColor="background1"/>
              </w:rPr>
            </w:pPr>
            <w:r w:rsidRPr="000C42E1">
              <w:rPr>
                <w:rFonts w:ascii="Century Gothic" w:hAnsi="Century Gothic"/>
                <w:b/>
                <w:color w:val="FFFFFF" w:themeColor="background1"/>
              </w:rPr>
              <w:t>Date:</w:t>
            </w:r>
          </w:p>
        </w:tc>
        <w:tc>
          <w:tcPr>
            <w:tcW w:w="8835" w:type="dxa"/>
            <w:tcBorders>
              <w:top w:val="single" w:sz="4" w:space="0" w:color="000000"/>
              <w:left w:val="single" w:sz="4" w:space="0" w:color="000000"/>
              <w:bottom w:val="single" w:sz="4" w:space="0" w:color="000000"/>
              <w:right w:val="single" w:sz="4" w:space="0" w:color="000000"/>
            </w:tcBorders>
            <w:shd w:val="clear" w:color="auto" w:fill="auto"/>
          </w:tcPr>
          <w:p w14:paraId="14018CFB" w14:textId="77777777" w:rsidR="008A69A2" w:rsidRPr="000C42E1" w:rsidRDefault="008A69A2" w:rsidP="008A69A2">
            <w:pPr>
              <w:spacing w:before="240"/>
              <w:rPr>
                <w:rFonts w:ascii="Century Gothic" w:hAnsi="Century Gothic"/>
                <w:color w:val="1F497D"/>
              </w:rPr>
            </w:pPr>
          </w:p>
        </w:tc>
      </w:tr>
    </w:tbl>
    <w:p w14:paraId="04463A8E" w14:textId="77777777" w:rsidR="00C24017" w:rsidRPr="00C24017" w:rsidRDefault="00C24017" w:rsidP="00C24017">
      <w:pPr>
        <w:ind w:firstLine="720"/>
        <w:rPr>
          <w:rFonts w:ascii="Century Gothic" w:hAnsi="Century Gothic"/>
        </w:rPr>
      </w:pPr>
    </w:p>
    <w:p w14:paraId="23843EDB" w14:textId="60D99CED" w:rsidR="00273F10" w:rsidRPr="00C24017" w:rsidRDefault="00273F10" w:rsidP="00C24017">
      <w:pPr>
        <w:rPr>
          <w:rFonts w:ascii="Century Gothic" w:hAnsi="Century Gothic"/>
          <w:sz w:val="32"/>
          <w:szCs w:val="32"/>
        </w:rPr>
      </w:pPr>
    </w:p>
    <w:sectPr w:rsidR="00273F10" w:rsidRPr="00C24017" w:rsidSect="000C42E1">
      <w:footerReference w:type="default" r:id="rId10"/>
      <w:headerReference w:type="first" r:id="rId11"/>
      <w:footerReference w:type="first" r:id="rId12"/>
      <w:pgSz w:w="11906" w:h="16838"/>
      <w:pgMar w:top="284" w:right="1440" w:bottom="426" w:left="851" w:header="708" w:footer="16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k Dennison" w:date="2016-08-04T18:23:00Z" w:initials="MD">
    <w:p w14:paraId="360E103A" w14:textId="77777777" w:rsidR="008A69A2" w:rsidRDefault="008A69A2" w:rsidP="008A69A2">
      <w:pPr>
        <w:pStyle w:val="CommentText"/>
      </w:pPr>
      <w:r>
        <w:rPr>
          <w:rStyle w:val="CommentReference"/>
        </w:rPr>
        <w:annotationRef/>
      </w:r>
      <w:r>
        <w:t>Adviser free text commentary on the client’s need to take investment risk. This will be based where possible on a numerical consideration of the client’s ability to sustain an agreed target cost of living level.</w:t>
      </w:r>
    </w:p>
  </w:comment>
  <w:comment w:id="1" w:author="Mark Dennison" w:date="2016-08-04T18:26:00Z" w:initials="MD">
    <w:p w14:paraId="5491403C" w14:textId="77777777" w:rsidR="008A69A2" w:rsidRDefault="008A69A2" w:rsidP="008A69A2">
      <w:pPr>
        <w:pStyle w:val="CommentText"/>
      </w:pPr>
      <w:r>
        <w:rPr>
          <w:rStyle w:val="CommentReference"/>
        </w:rPr>
        <w:annotationRef/>
      </w:r>
      <w:r>
        <w:t>Adviser free text consideration of the client’s ability to sustain an actual (not paper) loss, without impacting significantly on the client’s cost of living level.</w:t>
      </w:r>
    </w:p>
  </w:comment>
  <w:comment w:id="2" w:author="Mark Dennison" w:date="2016-08-04T18:28:00Z" w:initials="MD">
    <w:p w14:paraId="635A1C5B" w14:textId="77777777" w:rsidR="008A69A2" w:rsidRDefault="008A69A2" w:rsidP="008A69A2">
      <w:pPr>
        <w:pStyle w:val="CommentText"/>
      </w:pPr>
      <w:r>
        <w:rPr>
          <w:rStyle w:val="CommentReference"/>
        </w:rPr>
        <w:annotationRef/>
      </w:r>
      <w:r>
        <w:t>Adviser to just drag this across from the attitude to risk profiling tool / process used by the firm.</w:t>
      </w:r>
    </w:p>
  </w:comment>
  <w:comment w:id="3" w:author="Mark Dennison" w:date="2016-08-04T18:30:00Z" w:initials="MD">
    <w:p w14:paraId="12FEB1BE" w14:textId="77777777" w:rsidR="008A69A2" w:rsidRPr="00FD10E3" w:rsidRDefault="008A69A2" w:rsidP="008A69A2">
      <w:pPr>
        <w:autoSpaceDE w:val="0"/>
        <w:autoSpaceDN w:val="0"/>
        <w:adjustRightInd w:val="0"/>
        <w:spacing w:after="0" w:line="240" w:lineRule="auto"/>
        <w:rPr>
          <w:rFonts w:cs="Calibri"/>
          <w:b/>
          <w:bCs/>
          <w:iCs/>
          <w:color w:val="1F497D"/>
          <w:sz w:val="20"/>
        </w:rPr>
      </w:pPr>
      <w:r>
        <w:rPr>
          <w:rStyle w:val="CommentReference"/>
        </w:rPr>
        <w:annotationRef/>
      </w:r>
      <w:r>
        <w:rPr>
          <w:rFonts w:cs="Calibri"/>
          <w:b/>
          <w:bCs/>
          <w:iCs/>
          <w:color w:val="1F497D"/>
          <w:sz w:val="20"/>
        </w:rPr>
        <w:t>Adviser free text confirming the detailed discussion that has taken place with the client around the above 3 issues, and the agreement with the client as to what risk grading to use in the investment. In practise this section will usually be done with the client, at which point the document can be signed off as below</w:t>
      </w:r>
    </w:p>
    <w:p w14:paraId="4FF581F7" w14:textId="77777777" w:rsidR="008A69A2" w:rsidRDefault="008A69A2" w:rsidP="008A69A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0E103A" w15:done="0"/>
  <w15:commentEx w15:paraId="5491403C" w15:done="0"/>
  <w15:commentEx w15:paraId="635A1C5B" w15:done="0"/>
  <w15:commentEx w15:paraId="4FF581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0E103A" w16cid:durableId="39368FF6"/>
  <w16cid:commentId w16cid:paraId="5491403C" w16cid:durableId="197BF3A0"/>
  <w16cid:commentId w16cid:paraId="635A1C5B" w16cid:durableId="607EFE88"/>
  <w16cid:commentId w16cid:paraId="4FF581F7" w16cid:durableId="791438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0FBEB" w14:textId="77777777" w:rsidR="00690B48" w:rsidRDefault="00690B48">
      <w:pPr>
        <w:spacing w:after="0" w:line="240" w:lineRule="auto"/>
      </w:pPr>
      <w:r>
        <w:separator/>
      </w:r>
    </w:p>
  </w:endnote>
  <w:endnote w:type="continuationSeparator" w:id="0">
    <w:p w14:paraId="424E139E" w14:textId="77777777" w:rsidR="00690B48" w:rsidRDefault="0069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860" w14:textId="77777777" w:rsidR="00273F10" w:rsidRPr="00DD2542" w:rsidRDefault="00273F10" w:rsidP="00FD10E3">
    <w:pPr>
      <w:pStyle w:val="Footer"/>
      <w:tabs>
        <w:tab w:val="clear" w:pos="4513"/>
        <w:tab w:val="clear" w:pos="9026"/>
        <w:tab w:val="center" w:pos="4807"/>
        <w:tab w:val="right" w:pos="9615"/>
      </w:tabs>
      <w:rPr>
        <w:sz w:val="16"/>
        <w:szCs w:val="16"/>
      </w:rPr>
    </w:pPr>
  </w:p>
  <w:p w14:paraId="38F80BEC" w14:textId="77777777" w:rsidR="000C42E1" w:rsidRPr="00DD2542" w:rsidRDefault="000C42E1" w:rsidP="000C42E1">
    <w:pPr>
      <w:pStyle w:val="Footer"/>
      <w:ind w:right="-1264"/>
      <w:jc w:val="both"/>
      <w:rPr>
        <w:rStyle w:val="PageNumber"/>
        <w:rFonts w:ascii="Century Gothic" w:hAnsi="Century Gothic"/>
        <w:sz w:val="16"/>
        <w:szCs w:val="16"/>
      </w:rPr>
    </w:pPr>
    <w:r w:rsidRPr="00DD2542">
      <w:rPr>
        <w:rStyle w:val="PageNumber"/>
        <w:rFonts w:ascii="Century Gothic" w:hAnsi="Century Gothic"/>
        <w:sz w:val="16"/>
        <w:szCs w:val="16"/>
      </w:rPr>
      <w:t>WLC Cheshire Ltd T/A The Compliance Department:</w:t>
    </w:r>
    <w:r w:rsidRPr="00DD2542">
      <w:rPr>
        <w:rStyle w:val="PageNumber"/>
        <w:rFonts w:ascii="Century Gothic" w:hAnsi="Century Gothic"/>
        <w:sz w:val="16"/>
        <w:szCs w:val="16"/>
      </w:rPr>
      <w:tab/>
    </w:r>
    <w:r w:rsidRPr="00DD2542">
      <w:rPr>
        <w:rStyle w:val="PageNumber"/>
        <w:rFonts w:ascii="Century Gothic" w:hAnsi="Century Gothic"/>
        <w:sz w:val="16"/>
        <w:szCs w:val="16"/>
      </w:rPr>
      <w:tab/>
    </w:r>
    <w:r w:rsidRPr="00DD2542">
      <w:rPr>
        <w:rStyle w:val="PageNumber"/>
        <w:rFonts w:ascii="Century Gothic" w:hAnsi="Century Gothic"/>
        <w:sz w:val="16"/>
        <w:szCs w:val="16"/>
      </w:rPr>
      <w:tab/>
    </w:r>
    <w:r w:rsidRPr="00DD2542">
      <w:rPr>
        <w:rStyle w:val="PageNumber"/>
        <w:rFonts w:ascii="Century Gothic" w:hAnsi="Century Gothic"/>
        <w:sz w:val="16"/>
        <w:szCs w:val="16"/>
      </w:rPr>
      <w:tab/>
    </w:r>
  </w:p>
  <w:p w14:paraId="1EEE1FB9" w14:textId="05C59D39" w:rsidR="000C42E1" w:rsidRPr="00DD2542" w:rsidRDefault="004B443E" w:rsidP="000C42E1">
    <w:pPr>
      <w:pStyle w:val="Footer"/>
      <w:ind w:right="-1264"/>
      <w:jc w:val="both"/>
      <w:rPr>
        <w:rStyle w:val="PageNumber"/>
        <w:rFonts w:ascii="Century Gothic" w:hAnsi="Century Gothic"/>
        <w:sz w:val="16"/>
        <w:szCs w:val="16"/>
      </w:rPr>
    </w:pPr>
    <w:r w:rsidRPr="00DD2542">
      <w:rPr>
        <w:rStyle w:val="PageNumber"/>
        <w:rFonts w:ascii="Century Gothic" w:hAnsi="Century Gothic"/>
        <w:sz w:val="16"/>
        <w:szCs w:val="16"/>
      </w:rPr>
      <w:t>TCD20</w:t>
    </w:r>
    <w:r w:rsidR="000C42E1" w:rsidRPr="00DD2542">
      <w:rPr>
        <w:rStyle w:val="PageNumber"/>
        <w:rFonts w:ascii="Century Gothic" w:hAnsi="Century Gothic"/>
        <w:sz w:val="16"/>
        <w:szCs w:val="16"/>
      </w:rPr>
      <w:t xml:space="preserve">1116 IMC </w:t>
    </w:r>
    <w:r w:rsidRPr="00DD2542">
      <w:rPr>
        <w:rStyle w:val="PageNumber"/>
        <w:rFonts w:ascii="Century Gothic" w:hAnsi="Century Gothic"/>
        <w:sz w:val="16"/>
        <w:szCs w:val="16"/>
      </w:rPr>
      <w:t>Risk Profile Outcome</w:t>
    </w:r>
    <w:r w:rsidR="000C42E1" w:rsidRPr="00DD2542">
      <w:rPr>
        <w:rStyle w:val="PageNumber"/>
        <w:rFonts w:ascii="Century Gothic" w:hAnsi="Century Gothic"/>
        <w:sz w:val="16"/>
        <w:szCs w:val="16"/>
      </w:rPr>
      <w:t xml:space="preserve"> </w:t>
    </w:r>
    <w:r w:rsidR="000C42E1" w:rsidRPr="00DD2542">
      <w:rPr>
        <w:rStyle w:val="PageNumber"/>
        <w:rFonts w:ascii="Century Gothic" w:hAnsi="Century Gothic"/>
        <w:sz w:val="16"/>
        <w:szCs w:val="16"/>
      </w:rPr>
      <w:tab/>
    </w:r>
    <w:r w:rsidR="000C42E1" w:rsidRPr="00DD2542">
      <w:rPr>
        <w:rStyle w:val="PageNumber"/>
        <w:rFonts w:ascii="Century Gothic" w:hAnsi="Century Gothic"/>
        <w:sz w:val="16"/>
        <w:szCs w:val="16"/>
      </w:rPr>
      <w:tab/>
      <w:t xml:space="preserve">Page </w:t>
    </w:r>
    <w:r w:rsidR="000C42E1" w:rsidRPr="00DD2542">
      <w:rPr>
        <w:rStyle w:val="PageNumber"/>
        <w:rFonts w:ascii="Century Gothic" w:hAnsi="Century Gothic"/>
        <w:sz w:val="16"/>
        <w:szCs w:val="16"/>
      </w:rPr>
      <w:fldChar w:fldCharType="begin"/>
    </w:r>
    <w:r w:rsidR="000C42E1" w:rsidRPr="00DD2542">
      <w:rPr>
        <w:rStyle w:val="PageNumber"/>
        <w:rFonts w:ascii="Century Gothic" w:hAnsi="Century Gothic"/>
        <w:sz w:val="16"/>
        <w:szCs w:val="16"/>
      </w:rPr>
      <w:instrText xml:space="preserve"> PAGE </w:instrText>
    </w:r>
    <w:r w:rsidR="000C42E1" w:rsidRPr="00DD2542">
      <w:rPr>
        <w:rStyle w:val="PageNumber"/>
        <w:rFonts w:ascii="Century Gothic" w:hAnsi="Century Gothic"/>
        <w:sz w:val="16"/>
        <w:szCs w:val="16"/>
      </w:rPr>
      <w:fldChar w:fldCharType="separate"/>
    </w:r>
    <w:r w:rsidR="00C24017">
      <w:rPr>
        <w:rStyle w:val="PageNumber"/>
        <w:rFonts w:ascii="Century Gothic" w:hAnsi="Century Gothic"/>
        <w:noProof/>
        <w:sz w:val="16"/>
        <w:szCs w:val="16"/>
      </w:rPr>
      <w:t>2</w:t>
    </w:r>
    <w:r w:rsidR="000C42E1" w:rsidRPr="00DD2542">
      <w:rPr>
        <w:rStyle w:val="PageNumber"/>
        <w:rFonts w:ascii="Century Gothic" w:hAnsi="Century Gothic"/>
        <w:sz w:val="16"/>
        <w:szCs w:val="16"/>
      </w:rPr>
      <w:fldChar w:fldCharType="end"/>
    </w:r>
    <w:r w:rsidR="000C42E1" w:rsidRPr="00DD2542">
      <w:rPr>
        <w:rStyle w:val="PageNumber"/>
        <w:rFonts w:ascii="Century Gothic" w:hAnsi="Century Gothic"/>
        <w:sz w:val="16"/>
        <w:szCs w:val="16"/>
      </w:rPr>
      <w:t xml:space="preserve"> of </w:t>
    </w:r>
    <w:r w:rsidR="000C42E1" w:rsidRPr="00DD2542">
      <w:rPr>
        <w:rStyle w:val="PageNumber"/>
        <w:rFonts w:ascii="Century Gothic" w:hAnsi="Century Gothic"/>
        <w:sz w:val="16"/>
        <w:szCs w:val="16"/>
      </w:rPr>
      <w:fldChar w:fldCharType="begin"/>
    </w:r>
    <w:r w:rsidR="000C42E1" w:rsidRPr="00DD2542">
      <w:rPr>
        <w:rStyle w:val="PageNumber"/>
        <w:rFonts w:ascii="Century Gothic" w:hAnsi="Century Gothic"/>
        <w:sz w:val="16"/>
        <w:szCs w:val="16"/>
      </w:rPr>
      <w:instrText xml:space="preserve"> NUMPAGES </w:instrText>
    </w:r>
    <w:r w:rsidR="000C42E1" w:rsidRPr="00DD2542">
      <w:rPr>
        <w:rStyle w:val="PageNumber"/>
        <w:rFonts w:ascii="Century Gothic" w:hAnsi="Century Gothic"/>
        <w:sz w:val="16"/>
        <w:szCs w:val="16"/>
      </w:rPr>
      <w:fldChar w:fldCharType="separate"/>
    </w:r>
    <w:r w:rsidR="00C24017">
      <w:rPr>
        <w:rStyle w:val="PageNumber"/>
        <w:rFonts w:ascii="Century Gothic" w:hAnsi="Century Gothic"/>
        <w:noProof/>
        <w:sz w:val="16"/>
        <w:szCs w:val="16"/>
      </w:rPr>
      <w:t>2</w:t>
    </w:r>
    <w:r w:rsidR="000C42E1" w:rsidRPr="00DD2542">
      <w:rPr>
        <w:rStyle w:val="PageNumber"/>
        <w:rFonts w:ascii="Century Gothic" w:hAnsi="Century Gothic"/>
        <w:sz w:val="16"/>
        <w:szCs w:val="16"/>
      </w:rPr>
      <w:fldChar w:fldCharType="end"/>
    </w:r>
  </w:p>
  <w:p w14:paraId="455D037A" w14:textId="77777777" w:rsidR="00273F10" w:rsidRDefault="00F70EE9" w:rsidP="00FD10E3">
    <w:pPr>
      <w:pStyle w:val="Footer"/>
      <w:tabs>
        <w:tab w:val="clear" w:pos="4513"/>
        <w:tab w:val="clear" w:pos="9026"/>
        <w:tab w:val="center" w:pos="4807"/>
        <w:tab w:val="right" w:pos="9615"/>
      </w:tabs>
      <w:rPr>
        <w:b/>
        <w:color w:val="1F497D"/>
        <w:sz w:val="14"/>
      </w:rPr>
    </w:pPr>
    <w:r>
      <w:rPr>
        <w:b/>
        <w:color w:val="1F497D"/>
        <w:sz w:val="14"/>
      </w:rPr>
      <w:tab/>
    </w:r>
    <w:r>
      <w:rPr>
        <w:b/>
        <w:color w:val="1F497D"/>
        <w:sz w:val="14"/>
      </w:rPr>
      <w:tab/>
    </w:r>
  </w:p>
  <w:p w14:paraId="1C5B28AD" w14:textId="77777777" w:rsidR="00F70EE9" w:rsidRPr="00CF3982" w:rsidRDefault="00F70EE9" w:rsidP="00FD10E3">
    <w:pPr>
      <w:pStyle w:val="Footer"/>
      <w:tabs>
        <w:tab w:val="clear" w:pos="4513"/>
        <w:tab w:val="clear" w:pos="9026"/>
        <w:tab w:val="center" w:pos="4807"/>
        <w:tab w:val="right" w:pos="9615"/>
      </w:tabs>
      <w:rPr>
        <w:b/>
        <w:color w:val="1F497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1E179" w14:textId="68989D84" w:rsidR="004B443E" w:rsidRPr="00DD2542" w:rsidRDefault="008A69A2" w:rsidP="004B443E">
    <w:pPr>
      <w:pStyle w:val="Footer"/>
      <w:ind w:right="-1264"/>
      <w:jc w:val="both"/>
      <w:rPr>
        <w:rStyle w:val="PageNumber"/>
        <w:rFonts w:ascii="Century Gothic" w:hAnsi="Century Gothic"/>
        <w:sz w:val="16"/>
        <w:szCs w:val="16"/>
      </w:rPr>
    </w:pPr>
    <w:r>
      <w:rPr>
        <w:rStyle w:val="PageNumber"/>
        <w:rFonts w:ascii="Century Gothic" w:hAnsi="Century Gothic"/>
        <w:sz w:val="16"/>
        <w:szCs w:val="16"/>
      </w:rPr>
      <w:t>Essentials</w:t>
    </w:r>
    <w:r w:rsidR="004B443E" w:rsidRPr="00DD2542">
      <w:rPr>
        <w:rStyle w:val="PageNumber"/>
        <w:rFonts w:ascii="Century Gothic" w:hAnsi="Century Gothic"/>
        <w:sz w:val="16"/>
        <w:szCs w:val="16"/>
      </w:rPr>
      <w:t>:</w:t>
    </w:r>
    <w:r w:rsidR="004B443E" w:rsidRPr="00DD2542">
      <w:rPr>
        <w:rStyle w:val="PageNumber"/>
        <w:rFonts w:ascii="Century Gothic" w:hAnsi="Century Gothic"/>
        <w:sz w:val="16"/>
        <w:szCs w:val="16"/>
      </w:rPr>
      <w:tab/>
    </w:r>
    <w:r w:rsidR="004B443E" w:rsidRPr="00DD2542">
      <w:rPr>
        <w:rStyle w:val="PageNumber"/>
        <w:rFonts w:ascii="Century Gothic" w:hAnsi="Century Gothic"/>
        <w:sz w:val="16"/>
        <w:szCs w:val="16"/>
      </w:rPr>
      <w:tab/>
    </w:r>
    <w:r w:rsidR="004B443E" w:rsidRPr="00DD2542">
      <w:rPr>
        <w:rStyle w:val="PageNumber"/>
        <w:rFonts w:ascii="Century Gothic" w:hAnsi="Century Gothic"/>
        <w:sz w:val="16"/>
        <w:szCs w:val="16"/>
      </w:rPr>
      <w:tab/>
    </w:r>
    <w:r w:rsidR="004B443E" w:rsidRPr="00DD2542">
      <w:rPr>
        <w:rStyle w:val="PageNumber"/>
        <w:rFonts w:ascii="Century Gothic" w:hAnsi="Century Gothic"/>
        <w:sz w:val="16"/>
        <w:szCs w:val="16"/>
      </w:rPr>
      <w:tab/>
    </w:r>
  </w:p>
  <w:p w14:paraId="6283D1D2" w14:textId="2FB5D77F" w:rsidR="004B443E" w:rsidRPr="00DD2542" w:rsidRDefault="008A69A2" w:rsidP="004B443E">
    <w:pPr>
      <w:pStyle w:val="Footer"/>
      <w:ind w:right="-1264"/>
      <w:jc w:val="both"/>
      <w:rPr>
        <w:rStyle w:val="PageNumber"/>
        <w:rFonts w:ascii="Century Gothic" w:hAnsi="Century Gothic"/>
        <w:sz w:val="16"/>
        <w:szCs w:val="16"/>
      </w:rPr>
    </w:pPr>
    <w:r>
      <w:rPr>
        <w:rStyle w:val="PageNumber"/>
        <w:rFonts w:ascii="Century Gothic" w:hAnsi="Century Gothic"/>
        <w:sz w:val="16"/>
        <w:szCs w:val="16"/>
      </w:rPr>
      <w:t>ESS</w:t>
    </w:r>
    <w:r w:rsidR="002F6272">
      <w:rPr>
        <w:rStyle w:val="PageNumber"/>
        <w:rFonts w:ascii="Century Gothic" w:hAnsi="Century Gothic"/>
        <w:sz w:val="16"/>
        <w:szCs w:val="16"/>
        <w:lang w:val="en-GB"/>
      </w:rPr>
      <w:t>081123</w:t>
    </w:r>
    <w:r w:rsidR="004B443E" w:rsidRPr="00DD2542">
      <w:rPr>
        <w:rStyle w:val="PageNumber"/>
        <w:rFonts w:ascii="Century Gothic" w:hAnsi="Century Gothic"/>
        <w:sz w:val="16"/>
        <w:szCs w:val="16"/>
      </w:rPr>
      <w:t xml:space="preserve"> IMC Risk Profile Outcome </w:t>
    </w:r>
    <w:r>
      <w:rPr>
        <w:rStyle w:val="PageNumber"/>
        <w:rFonts w:ascii="Century Gothic" w:hAnsi="Century Gothic"/>
        <w:sz w:val="16"/>
        <w:szCs w:val="16"/>
      </w:rPr>
      <w:tab/>
    </w:r>
    <w:r w:rsidR="004B443E" w:rsidRPr="00DD2542">
      <w:rPr>
        <w:rStyle w:val="PageNumber"/>
        <w:rFonts w:ascii="Century Gothic" w:hAnsi="Century Gothic"/>
        <w:sz w:val="16"/>
        <w:szCs w:val="16"/>
      </w:rPr>
      <w:tab/>
    </w:r>
    <w:r w:rsidR="004B443E" w:rsidRPr="00DD2542">
      <w:rPr>
        <w:rStyle w:val="PageNumber"/>
        <w:rFonts w:ascii="Century Gothic" w:hAnsi="Century Gothic"/>
        <w:sz w:val="16"/>
        <w:szCs w:val="16"/>
      </w:rPr>
      <w:tab/>
      <w:t xml:space="preserve">Page </w:t>
    </w:r>
    <w:r w:rsidR="004B443E" w:rsidRPr="00DD2542">
      <w:rPr>
        <w:rStyle w:val="PageNumber"/>
        <w:rFonts w:ascii="Century Gothic" w:hAnsi="Century Gothic"/>
        <w:sz w:val="16"/>
        <w:szCs w:val="16"/>
      </w:rPr>
      <w:fldChar w:fldCharType="begin"/>
    </w:r>
    <w:r w:rsidR="004B443E" w:rsidRPr="00DD2542">
      <w:rPr>
        <w:rStyle w:val="PageNumber"/>
        <w:rFonts w:ascii="Century Gothic" w:hAnsi="Century Gothic"/>
        <w:sz w:val="16"/>
        <w:szCs w:val="16"/>
      </w:rPr>
      <w:instrText xml:space="preserve"> PAGE </w:instrText>
    </w:r>
    <w:r w:rsidR="004B443E" w:rsidRPr="00DD2542">
      <w:rPr>
        <w:rStyle w:val="PageNumber"/>
        <w:rFonts w:ascii="Century Gothic" w:hAnsi="Century Gothic"/>
        <w:sz w:val="16"/>
        <w:szCs w:val="16"/>
      </w:rPr>
      <w:fldChar w:fldCharType="separate"/>
    </w:r>
    <w:r w:rsidR="00C24017">
      <w:rPr>
        <w:rStyle w:val="PageNumber"/>
        <w:rFonts w:ascii="Century Gothic" w:hAnsi="Century Gothic"/>
        <w:noProof/>
        <w:sz w:val="16"/>
        <w:szCs w:val="16"/>
      </w:rPr>
      <w:t>1</w:t>
    </w:r>
    <w:r w:rsidR="004B443E" w:rsidRPr="00DD2542">
      <w:rPr>
        <w:rStyle w:val="PageNumber"/>
        <w:rFonts w:ascii="Century Gothic" w:hAnsi="Century Gothic"/>
        <w:sz w:val="16"/>
        <w:szCs w:val="16"/>
      </w:rPr>
      <w:fldChar w:fldCharType="end"/>
    </w:r>
    <w:r w:rsidR="004B443E" w:rsidRPr="00DD2542">
      <w:rPr>
        <w:rStyle w:val="PageNumber"/>
        <w:rFonts w:ascii="Century Gothic" w:hAnsi="Century Gothic"/>
        <w:sz w:val="16"/>
        <w:szCs w:val="16"/>
      </w:rPr>
      <w:t xml:space="preserve"> of </w:t>
    </w:r>
    <w:r w:rsidR="004B443E" w:rsidRPr="00DD2542">
      <w:rPr>
        <w:rStyle w:val="PageNumber"/>
        <w:rFonts w:ascii="Century Gothic" w:hAnsi="Century Gothic"/>
        <w:sz w:val="16"/>
        <w:szCs w:val="16"/>
      </w:rPr>
      <w:fldChar w:fldCharType="begin"/>
    </w:r>
    <w:r w:rsidR="004B443E" w:rsidRPr="00DD2542">
      <w:rPr>
        <w:rStyle w:val="PageNumber"/>
        <w:rFonts w:ascii="Century Gothic" w:hAnsi="Century Gothic"/>
        <w:sz w:val="16"/>
        <w:szCs w:val="16"/>
      </w:rPr>
      <w:instrText xml:space="preserve"> NUMPAGES </w:instrText>
    </w:r>
    <w:r w:rsidR="004B443E" w:rsidRPr="00DD2542">
      <w:rPr>
        <w:rStyle w:val="PageNumber"/>
        <w:rFonts w:ascii="Century Gothic" w:hAnsi="Century Gothic"/>
        <w:sz w:val="16"/>
        <w:szCs w:val="16"/>
      </w:rPr>
      <w:fldChar w:fldCharType="separate"/>
    </w:r>
    <w:r w:rsidR="00C24017">
      <w:rPr>
        <w:rStyle w:val="PageNumber"/>
        <w:rFonts w:ascii="Century Gothic" w:hAnsi="Century Gothic"/>
        <w:noProof/>
        <w:sz w:val="16"/>
        <w:szCs w:val="16"/>
      </w:rPr>
      <w:t>1</w:t>
    </w:r>
    <w:r w:rsidR="004B443E" w:rsidRPr="00DD2542">
      <w:rPr>
        <w:rStyle w:val="PageNumber"/>
        <w:rFonts w:ascii="Century Gothic" w:hAnsi="Century Gothic"/>
        <w:sz w:val="16"/>
        <w:szCs w:val="16"/>
      </w:rPr>
      <w:fldChar w:fldCharType="end"/>
    </w:r>
  </w:p>
  <w:p w14:paraId="620C7890" w14:textId="77777777" w:rsidR="000C42E1" w:rsidRDefault="000C4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39F3A" w14:textId="77777777" w:rsidR="00690B48" w:rsidRDefault="00690B48">
      <w:pPr>
        <w:spacing w:after="0" w:line="240" w:lineRule="auto"/>
      </w:pPr>
      <w:r>
        <w:separator/>
      </w:r>
    </w:p>
  </w:footnote>
  <w:footnote w:type="continuationSeparator" w:id="0">
    <w:p w14:paraId="7951B797" w14:textId="77777777" w:rsidR="00690B48" w:rsidRDefault="00690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49231" w14:textId="1D325FFC" w:rsidR="000C42E1" w:rsidRDefault="008A69A2" w:rsidP="008A69A2">
    <w:pPr>
      <w:pStyle w:val="Header"/>
      <w:shd w:val="clear" w:color="auto" w:fill="008E8E"/>
    </w:pPr>
    <w:r>
      <w:rPr>
        <w:rFonts w:ascii="Century Gothic" w:hAnsi="Century Gothic"/>
        <w:b/>
        <w:color w:val="FFFFFF"/>
        <w:sz w:val="36"/>
        <w:szCs w:val="36"/>
      </w:rPr>
      <w:t>Essentials</w:t>
    </w:r>
  </w:p>
  <w:p w14:paraId="08A267B4" w14:textId="77777777" w:rsidR="000C42E1" w:rsidRDefault="000C42E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 Dennison">
    <w15:presenceInfo w15:providerId="Windows Live" w15:userId="7ef2ffdef2d32b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A5"/>
    <w:rsid w:val="000C42E1"/>
    <w:rsid w:val="00273F10"/>
    <w:rsid w:val="002F6272"/>
    <w:rsid w:val="003A4016"/>
    <w:rsid w:val="00470DEA"/>
    <w:rsid w:val="00490000"/>
    <w:rsid w:val="004968BE"/>
    <w:rsid w:val="004B443E"/>
    <w:rsid w:val="004C6F95"/>
    <w:rsid w:val="0053770C"/>
    <w:rsid w:val="00612F35"/>
    <w:rsid w:val="00640DE1"/>
    <w:rsid w:val="006829F7"/>
    <w:rsid w:val="00690B48"/>
    <w:rsid w:val="00772A0B"/>
    <w:rsid w:val="00793E1F"/>
    <w:rsid w:val="00807CB1"/>
    <w:rsid w:val="0083751E"/>
    <w:rsid w:val="008A69A2"/>
    <w:rsid w:val="009D09C5"/>
    <w:rsid w:val="00A558C7"/>
    <w:rsid w:val="00B47A36"/>
    <w:rsid w:val="00C24017"/>
    <w:rsid w:val="00D14469"/>
    <w:rsid w:val="00D33519"/>
    <w:rsid w:val="00D678FB"/>
    <w:rsid w:val="00DD2542"/>
    <w:rsid w:val="00E068EC"/>
    <w:rsid w:val="00E8428D"/>
    <w:rsid w:val="00EB11A5"/>
    <w:rsid w:val="00F70EE9"/>
    <w:rsid w:val="00FC66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742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11A5"/>
    <w:pPr>
      <w:spacing w:after="200" w:line="276" w:lineRule="auto"/>
    </w:pPr>
    <w:rPr>
      <w:rFonts w:ascii="Calibri" w:eastAsia="MS Mincho"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B11A5"/>
    <w:pPr>
      <w:tabs>
        <w:tab w:val="center" w:pos="4513"/>
        <w:tab w:val="right" w:pos="9026"/>
      </w:tabs>
      <w:spacing w:after="0" w:line="240" w:lineRule="auto"/>
    </w:pPr>
    <w:rPr>
      <w:sz w:val="20"/>
      <w:szCs w:val="20"/>
      <w:lang w:val="x-none"/>
    </w:rPr>
  </w:style>
  <w:style w:type="character" w:customStyle="1" w:styleId="FooterChar">
    <w:name w:val="Footer Char"/>
    <w:basedOn w:val="DefaultParagraphFont"/>
    <w:link w:val="Footer"/>
    <w:rsid w:val="00EB11A5"/>
    <w:rPr>
      <w:rFonts w:ascii="Calibri" w:eastAsia="MS Mincho" w:hAnsi="Calibri" w:cs="Times New Roman"/>
      <w:sz w:val="20"/>
      <w:szCs w:val="20"/>
      <w:lang w:val="x-none" w:eastAsia="en-GB"/>
    </w:rPr>
  </w:style>
  <w:style w:type="paragraph" w:styleId="Header">
    <w:name w:val="header"/>
    <w:basedOn w:val="Normal"/>
    <w:link w:val="HeaderChar"/>
    <w:uiPriority w:val="99"/>
    <w:unhideWhenUsed/>
    <w:rsid w:val="00EB11A5"/>
    <w:pPr>
      <w:tabs>
        <w:tab w:val="center" w:pos="4513"/>
        <w:tab w:val="right" w:pos="9026"/>
      </w:tabs>
      <w:spacing w:after="0" w:line="240" w:lineRule="auto"/>
    </w:pPr>
    <w:rPr>
      <w:sz w:val="20"/>
      <w:szCs w:val="20"/>
      <w:lang w:val="x-none"/>
    </w:rPr>
  </w:style>
  <w:style w:type="character" w:customStyle="1" w:styleId="HeaderChar">
    <w:name w:val="Header Char"/>
    <w:basedOn w:val="DefaultParagraphFont"/>
    <w:link w:val="Header"/>
    <w:uiPriority w:val="99"/>
    <w:rsid w:val="00EB11A5"/>
    <w:rPr>
      <w:rFonts w:ascii="Calibri" w:eastAsia="MS Mincho" w:hAnsi="Calibri" w:cs="Times New Roman"/>
      <w:sz w:val="20"/>
      <w:szCs w:val="20"/>
      <w:lang w:val="x-none" w:eastAsia="en-GB"/>
    </w:rPr>
  </w:style>
  <w:style w:type="character" w:styleId="CommentReference">
    <w:name w:val="annotation reference"/>
    <w:basedOn w:val="DefaultParagraphFont"/>
    <w:uiPriority w:val="99"/>
    <w:semiHidden/>
    <w:unhideWhenUsed/>
    <w:rsid w:val="00470DEA"/>
    <w:rPr>
      <w:sz w:val="16"/>
      <w:szCs w:val="16"/>
    </w:rPr>
  </w:style>
  <w:style w:type="paragraph" w:styleId="CommentText">
    <w:name w:val="annotation text"/>
    <w:basedOn w:val="Normal"/>
    <w:link w:val="CommentTextChar"/>
    <w:uiPriority w:val="99"/>
    <w:semiHidden/>
    <w:unhideWhenUsed/>
    <w:rsid w:val="00470DEA"/>
    <w:pPr>
      <w:spacing w:line="240" w:lineRule="auto"/>
    </w:pPr>
    <w:rPr>
      <w:sz w:val="20"/>
      <w:szCs w:val="20"/>
    </w:rPr>
  </w:style>
  <w:style w:type="character" w:customStyle="1" w:styleId="CommentTextChar">
    <w:name w:val="Comment Text Char"/>
    <w:basedOn w:val="DefaultParagraphFont"/>
    <w:link w:val="CommentText"/>
    <w:uiPriority w:val="99"/>
    <w:semiHidden/>
    <w:rsid w:val="00470DEA"/>
    <w:rPr>
      <w:rFonts w:ascii="Calibri" w:eastAsia="MS Mincho"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70DEA"/>
    <w:rPr>
      <w:b/>
      <w:bCs/>
    </w:rPr>
  </w:style>
  <w:style w:type="character" w:customStyle="1" w:styleId="CommentSubjectChar">
    <w:name w:val="Comment Subject Char"/>
    <w:basedOn w:val="CommentTextChar"/>
    <w:link w:val="CommentSubject"/>
    <w:uiPriority w:val="99"/>
    <w:semiHidden/>
    <w:rsid w:val="00470DEA"/>
    <w:rPr>
      <w:rFonts w:ascii="Calibri" w:eastAsia="MS Mincho" w:hAnsi="Calibri" w:cs="Times New Roman"/>
      <w:b/>
      <w:bCs/>
      <w:sz w:val="20"/>
      <w:szCs w:val="20"/>
      <w:lang w:eastAsia="en-GB"/>
    </w:rPr>
  </w:style>
  <w:style w:type="paragraph" w:styleId="BalloonText">
    <w:name w:val="Balloon Text"/>
    <w:basedOn w:val="Normal"/>
    <w:link w:val="BalloonTextChar"/>
    <w:uiPriority w:val="99"/>
    <w:semiHidden/>
    <w:unhideWhenUsed/>
    <w:rsid w:val="00470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DEA"/>
    <w:rPr>
      <w:rFonts w:ascii="Segoe UI" w:eastAsia="MS Mincho" w:hAnsi="Segoe UI" w:cs="Segoe UI"/>
      <w:sz w:val="18"/>
      <w:szCs w:val="18"/>
      <w:lang w:eastAsia="en-GB"/>
    </w:rPr>
  </w:style>
  <w:style w:type="character" w:styleId="PageNumber">
    <w:name w:val="page number"/>
    <w:basedOn w:val="DefaultParagraphFont"/>
    <w:rsid w:val="000C4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59951-BDFB-744C-83CB-9C423B00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2</cp:revision>
  <dcterms:created xsi:type="dcterms:W3CDTF">2024-08-05T21:22:00Z</dcterms:created>
  <dcterms:modified xsi:type="dcterms:W3CDTF">2024-08-05T21:22:00Z</dcterms:modified>
</cp:coreProperties>
</file>